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jc w:val="center"/>
        <w:rPr/>
      </w:pPr>
      <w:r>
        <w:rPr>
          <w:rFonts w:ascii="Times New Roman" w:hAnsi="Times New Roman"/>
          <w:b/>
          <w:sz w:val="24"/>
          <w:szCs w:val="24"/>
          <w:lang w:eastAsia="hu-HU"/>
        </w:rPr>
        <w:tab/>
        <w:tab/>
        <w:t>Jászapáti Város Polgármestere</w:t>
        <w:br/>
        <w:tab/>
        <w:tab/>
      </w:r>
      <w:r>
        <w:rPr>
          <w:rFonts w:ascii="Times New Roman" w:hAnsi="Times New Roman"/>
          <w:sz w:val="24"/>
          <w:szCs w:val="24"/>
        </w:rPr>
        <w:t>5130 Jászapáti, dr. Szlovencsák Imre út 2.; Pf.: 28.</w:t>
        <w:br/>
        <w:t xml:space="preserve">Tel.: 57/540-100; Fax: 57/440-338; </w:t>
      </w:r>
      <w:r>
        <w:rPr>
          <w:rFonts w:ascii="Times New Roman" w:hAnsi="Times New Roman"/>
          <w:color w:val="000000"/>
          <w:sz w:val="24"/>
          <w:szCs w:val="24"/>
        </w:rPr>
        <w:drawing>
          <wp:anchor behindDoc="0" distT="0" distB="6985" distL="0" distR="114300" simplePos="0" locked="0" layoutInCell="1" allowOverlap="1" relativeHeight="2">
            <wp:simplePos x="0" y="0"/>
            <wp:positionH relativeFrom="margin">
              <wp:align>left</wp:align>
            </wp:positionH>
            <wp:positionV relativeFrom="paragraph">
              <wp:posOffset>-94615</wp:posOffset>
            </wp:positionV>
            <wp:extent cx="747395" cy="831215"/>
            <wp:effectExtent l="0" t="0" r="0" b="0"/>
            <wp:wrapSquare wrapText="bothSides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831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24"/>
          <w:szCs w:val="24"/>
        </w:rPr>
        <w:t xml:space="preserve">www.jaszapati.hu; titkarsag@jaszapati.hu </w:t>
      </w:r>
    </w:p>
    <w:p>
      <w:pPr>
        <w:pStyle w:val="Normal"/>
        <w:jc w:val="center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mc:AlternateContent>
          <mc:Choice Requires="wps">
            <w:drawing>
              <wp:anchor behindDoc="1" distT="0" distB="0" distL="0" distR="0" simplePos="0" locked="0" layoutInCell="1" allowOverlap="1" relativeHeight="3" wp14:anchorId="562DDDDA">
                <wp:simplePos x="0" y="0"/>
                <wp:positionH relativeFrom="column">
                  <wp:posOffset>-5080</wp:posOffset>
                </wp:positionH>
                <wp:positionV relativeFrom="paragraph">
                  <wp:posOffset>-68580</wp:posOffset>
                </wp:positionV>
                <wp:extent cx="5022215" cy="635"/>
                <wp:effectExtent l="11430" t="8255" r="5080" b="10795"/>
                <wp:wrapNone/>
                <wp:docPr id="2" name="Egyenes összekötő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1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0.4pt,-5.4pt" to="394.95pt,-5.4pt" ID="Egyenes összekötő 6" stroked="t" style="position:absolute" wp14:anchorId="562DDDDA">
                <v:stroke color="black" weight="9360" joinstyle="miter" endcap="flat"/>
                <v:fill o:detectmouseclick="t" on="false"/>
              </v:line>
            </w:pict>
          </mc:Fallback>
        </mc:AlternateContent>
      </w:r>
    </w:p>
    <w:p>
      <w:pPr>
        <w:pStyle w:val="Normal"/>
        <w:jc w:val="center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jc w:val="center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 L Ő T E R J E S Z T É S</w:t>
      </w:r>
    </w:p>
    <w:p>
      <w:pPr>
        <w:pStyle w:val="Normal"/>
        <w:jc w:val="center"/>
        <w:rPr/>
      </w:pPr>
      <w:r>
        <w:rPr>
          <w:b/>
          <w:sz w:val="24"/>
          <w:szCs w:val="24"/>
        </w:rPr>
        <w:t xml:space="preserve">Jászapáti Város településrendezési eszközeinek - </w:t>
      </w:r>
      <w:r>
        <w:rPr>
          <w:b/>
          <w:sz w:val="24"/>
          <w:szCs w:val="24"/>
        </w:rPr>
        <w:t>négy</w:t>
      </w:r>
      <w:r>
        <w:rPr>
          <w:b/>
          <w:sz w:val="24"/>
          <w:szCs w:val="24"/>
        </w:rPr>
        <w:t xml:space="preserve"> részterületét érintő – módosításához kapcsolódó környezeti vizsgálat szükségességének megállapításáról</w:t>
      </w:r>
    </w:p>
    <w:p>
      <w:pPr>
        <w:pStyle w:val="Normal"/>
        <w:jc w:val="center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jc w:val="left"/>
        <w:rPr>
          <w:b w:val="false"/>
          <w:b w:val="false"/>
          <w:bCs w:val="false"/>
        </w:rPr>
      </w:pPr>
      <w:r>
        <w:rPr>
          <w:b w:val="false"/>
          <w:bCs w:val="false"/>
          <w:sz w:val="24"/>
          <w:szCs w:val="24"/>
        </w:rPr>
        <w:t>Tisztelt Képviselő-testület!</w:t>
      </w:r>
    </w:p>
    <w:p>
      <w:pPr>
        <w:pStyle w:val="Szvegtrzs"/>
        <w:spacing w:before="0" w:after="0"/>
        <w:rPr>
          <w:b/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jc w:val="both"/>
        <w:rPr/>
      </w:pPr>
      <w:r>
        <w:rPr>
          <w:b w:val="false"/>
          <w:bCs w:val="false"/>
          <w:sz w:val="24"/>
          <w:szCs w:val="24"/>
        </w:rPr>
        <w:t>A környezetvédelem érdekeinek jogszabályi előírás</w:t>
      </w:r>
      <w:r>
        <w:rPr>
          <w:b w:val="false"/>
          <w:bCs w:val="false"/>
          <w:sz w:val="24"/>
          <w:szCs w:val="24"/>
        </w:rPr>
        <w:t>ok</w:t>
      </w:r>
      <w:r>
        <w:rPr>
          <w:b w:val="false"/>
          <w:bCs w:val="false"/>
          <w:sz w:val="24"/>
          <w:szCs w:val="24"/>
        </w:rPr>
        <w:t xml:space="preserve"> alapján érvényesülni</w:t>
      </w:r>
      <w:r>
        <w:rPr>
          <w:b w:val="false"/>
          <w:bCs w:val="false"/>
          <w:sz w:val="24"/>
          <w:szCs w:val="24"/>
        </w:rPr>
        <w:t>ük</w:t>
      </w:r>
      <w:r>
        <w:rPr>
          <w:b w:val="false"/>
          <w:bCs w:val="false"/>
          <w:sz w:val="24"/>
          <w:szCs w:val="24"/>
        </w:rPr>
        <w:t xml:space="preserve"> kell az országos, térségi, települési és az ágazati koncepciók, programok, tervek készítése, megvalósítása során. </w:t>
      </w:r>
      <w:r>
        <w:rPr>
          <w:sz w:val="24"/>
          <w:szCs w:val="24"/>
        </w:rPr>
        <w:t xml:space="preserve">A környezet védelmének általános szabályairól szóló 1995. évi LIII. törvény (továbbiakban: Kt.) 43-44. §-a előírja a környezetvédelem beépülésének a módját a tervezésbe. </w:t>
      </w:r>
    </w:p>
    <w:p>
      <w:pPr>
        <w:pStyle w:val="Normal"/>
        <w:jc w:val="both"/>
        <w:rPr>
          <w:sz w:val="24"/>
          <w:szCs w:val="24"/>
        </w:rPr>
      </w:pPr>
      <w:r>
        <w:rPr/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Kt. 43. § (5) bekezdésében előírtak szerint: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„</w:t>
      </w:r>
      <w:r>
        <w:rPr>
          <w:sz w:val="24"/>
          <w:szCs w:val="24"/>
        </w:rPr>
        <w:t xml:space="preserve">A (4) bekezdés szerinti külön jogszabály meghatározza azokat a terveket, illetve programokat, amelyeknél a környezeti vizsgálat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a) kötelező, vagy </w:t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b) szükségessége a várható környezeti hatásuk jelentőségének eseti meghatározása alapján, a külön jogszabályban foglalt szempontok figyelembevételével dönthető el.” </w:t>
      </w:r>
    </w:p>
    <w:p>
      <w:pPr>
        <w:pStyle w:val="Normal"/>
        <w:jc w:val="both"/>
        <w:rPr/>
      </w:pPr>
      <w:r>
        <w:rPr>
          <w:sz w:val="24"/>
          <w:szCs w:val="24"/>
        </w:rPr>
        <w:t>Az egyes tervek, illetve programok környezeti vizsgálatáról szóló 2/2005.(I.11.) Korm. rendelet előírásai rögzítik azt, hogy a településrendezési eszközök módosítása során a v</w:t>
      </w:r>
      <w:r>
        <w:rPr>
          <w:color w:val="000000"/>
          <w:sz w:val="24"/>
          <w:szCs w:val="24"/>
        </w:rPr>
        <w:t>árható környezeti hatásuk jelentőségének eseti meghatározása alapján dönthető el a környezeti vizsgálat szükségessége</w:t>
      </w:r>
      <w:r>
        <w:rPr>
          <w:sz w:val="24"/>
          <w:szCs w:val="24"/>
        </w:rPr>
        <w:t>.</w:t>
      </w:r>
    </w:p>
    <w:p>
      <w:pPr>
        <w:pStyle w:val="Normal"/>
        <w:jc w:val="both"/>
        <w:rPr/>
      </w:pPr>
      <w:r>
        <w:rPr>
          <w:sz w:val="24"/>
          <w:szCs w:val="24"/>
        </w:rPr>
        <w:t>A kidolgozó, azaz az Önkormányzat a</w:t>
      </w:r>
      <w:r>
        <w:rPr>
          <w:rFonts w:eastAsia="Batang"/>
          <w:sz w:val="24"/>
          <w:szCs w:val="24"/>
        </w:rPr>
        <w:t xml:space="preserve"> településrendezési eszközeinek módosítása során a 2/2005. (I.11.) Korm.r</w:t>
      </w:r>
      <w:r>
        <w:rPr>
          <w:rFonts w:eastAsia="Batang"/>
          <w:sz w:val="24"/>
          <w:szCs w:val="24"/>
        </w:rPr>
        <w:t>end</w:t>
      </w:r>
      <w:r>
        <w:rPr>
          <w:rFonts w:eastAsia="Batang"/>
          <w:sz w:val="24"/>
          <w:szCs w:val="24"/>
        </w:rPr>
        <w:t xml:space="preserve">. 4. § (2) bek. szerinti véleményeztetést a tárgyalásos eljárás végső szakmai véleményeztetése előtt a következő négy részterületre – melyek fejlesztéséről a Képviselő-testület korábban döntött – együtt folytatta le: </w:t>
      </w:r>
    </w:p>
    <w:p>
      <w:pPr>
        <w:pStyle w:val="Normal"/>
        <w:jc w:val="both"/>
        <w:rPr>
          <w:rFonts w:eastAsia="Batang"/>
          <w:sz w:val="24"/>
          <w:szCs w:val="24"/>
        </w:rPr>
      </w:pPr>
      <w:r>
        <w:rPr>
          <w:rFonts w:eastAsia="Batang"/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b/>
          <w:sz w:val="24"/>
          <w:szCs w:val="24"/>
        </w:rPr>
        <w:t>I. sz. részterület</w:t>
      </w:r>
      <w:r>
        <w:rPr>
          <w:sz w:val="24"/>
          <w:szCs w:val="24"/>
        </w:rPr>
        <w:t>:</w:t>
        <w:tab/>
        <w:t>Jászapáti külterület 0282/89 hrsz.-ú telekre, multifunkciós szabadidő  sportlétesítmény /lőtér/ telepítése</w:t>
      </w:r>
    </w:p>
    <w:p>
      <w:pPr>
        <w:pStyle w:val="Normal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b/>
          <w:sz w:val="24"/>
          <w:szCs w:val="24"/>
        </w:rPr>
        <w:t>II. sz. részterület</w:t>
      </w:r>
      <w:r>
        <w:rPr>
          <w:sz w:val="24"/>
          <w:szCs w:val="24"/>
        </w:rPr>
        <w:t>: Jászapáti, belterület 1346 (1346/1 és 1346/2) hrsz.-ú telkekre napelemes kis erőmű telepítése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b/>
          <w:sz w:val="24"/>
          <w:szCs w:val="24"/>
        </w:rPr>
        <w:t>III. sz. részterület:</w:t>
      </w:r>
      <w:r>
        <w:rPr>
          <w:sz w:val="24"/>
          <w:szCs w:val="24"/>
        </w:rPr>
        <w:t xml:space="preserve"> Jászapáti 31 sz. főúttal párhuzamosan a főút  jobb oldalán több telket érintő szabályozás, kerékpárút megvalósulása érdekében.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>
      <w:pPr>
        <w:pStyle w:val="Normal"/>
        <w:jc w:val="both"/>
        <w:rPr>
          <w:sz w:val="24"/>
          <w:szCs w:val="24"/>
        </w:rPr>
      </w:pPr>
      <w:r>
        <w:rPr>
          <w:b/>
          <w:sz w:val="24"/>
          <w:szCs w:val="24"/>
        </w:rPr>
        <w:t>IV. sz. részterület</w:t>
      </w:r>
      <w:r>
        <w:rPr>
          <w:sz w:val="24"/>
          <w:szCs w:val="24"/>
        </w:rPr>
        <w:t>: Jászapáti, külterület 0265/13 hrsz.-ú ingatlan építési övezetének módosítása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beérkezett vélemények közül Jász-Nagykun-Szolnok megyei Kormányhivatal Népegészségügyi Főosztály első levelében a II. számú részterületre indokoltnak ítélte a környezeti vizsgálat lefolytatását. Ezt követően megküldött kiegészítő dokumentációk ismeretében már ezen részterületre település – és környezet-egészségügyi szempontból sem tartotta indokoltnak a környezeti vizsgálat elkészítését. </w:t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Budapest Főváros Kormányhivatala Építésügyi és Örökségvédelmi, Hatósági, Oktatási és Törvényességi Felügyeleti Főosztály Örökségvédelmi Osztály ugyanúgy a II. számú részterület módosításához tartotta szükségesnek a környezeti vizsgálat lefolytatását, illetve  örökségvédelmi hatástanulmány elkészítését. Az államigazgatási szervvel történő egyeztető megbeszélésre a határidők miatt nem kerülhetett sor. Ennek ismeretében lehet majd dönteni az állásfoglalásuk elfogadásáról az örökségvédelmi hatástanulmány, vagy a környezeti vizsgálati munkarész elkészítéséről, ill. annak lefolytatásáról. </w:t>
      </w:r>
    </w:p>
    <w:p>
      <w:pPr>
        <w:pStyle w:val="Normal"/>
        <w:jc w:val="both"/>
        <w:rPr>
          <w:rFonts w:eastAsia="Batang"/>
          <w:sz w:val="24"/>
          <w:szCs w:val="24"/>
        </w:rPr>
      </w:pPr>
      <w:r>
        <w:rPr>
          <w:rFonts w:eastAsia="Batang"/>
          <w:sz w:val="24"/>
          <w:szCs w:val="24"/>
        </w:rPr>
      </w:r>
    </w:p>
    <w:p>
      <w:pPr>
        <w:pStyle w:val="Normal"/>
        <w:jc w:val="both"/>
        <w:rPr/>
      </w:pPr>
      <w:r>
        <w:rPr>
          <w:rFonts w:eastAsia="Batang"/>
          <w:sz w:val="24"/>
          <w:szCs w:val="24"/>
        </w:rPr>
        <w:t>Megállapításra került, hogy az eljárásba bevont államigazgatási szervek – a Főváros Kormányhivatala kivételével és csak a II. sz. részterületre – mindegyike, egyik részterületre sem tartott</w:t>
      </w:r>
      <w:r>
        <w:rPr>
          <w:rFonts w:eastAsia="Batang"/>
          <w:sz w:val="24"/>
          <w:szCs w:val="24"/>
        </w:rPr>
        <w:t>a</w:t>
      </w:r>
      <w:r>
        <w:rPr>
          <w:rFonts w:eastAsia="Batang"/>
          <w:sz w:val="24"/>
          <w:szCs w:val="24"/>
        </w:rPr>
        <w:t xml:space="preserve"> szükségesnek a környezeti vizsgálat lefolytatását, a csatolt munkarészek sem indokolják ennek elkészítését, ezért szakmailag nem szükséges az I., III., és IV. részterületre környezeti vizsgálat elkészítése. Fentiek figyelembevételével elsődlegesen a kerékpárút fejlesztése érdekében, a rendezési terv módosításából a II. sz. részterület </w:t>
      </w:r>
      <w:r>
        <w:rPr>
          <w:rFonts w:eastAsia="Batang"/>
          <w:sz w:val="24"/>
          <w:szCs w:val="24"/>
        </w:rPr>
        <w:t xml:space="preserve">miatti </w:t>
      </w:r>
      <w:r>
        <w:rPr>
          <w:rFonts w:eastAsia="Batang"/>
          <w:sz w:val="24"/>
          <w:szCs w:val="24"/>
        </w:rPr>
        <w:t>módosítás</w:t>
      </w:r>
      <w:r>
        <w:rPr>
          <w:rFonts w:eastAsia="Batang"/>
          <w:sz w:val="24"/>
          <w:szCs w:val="24"/>
        </w:rPr>
        <w:t>i</w:t>
      </w:r>
      <w:r>
        <w:rPr>
          <w:rFonts w:eastAsia="Batang"/>
          <w:sz w:val="24"/>
          <w:szCs w:val="24"/>
        </w:rPr>
        <w:t xml:space="preserve"> eljárására később kerül sor. A tervező a végső szakmai véleményezésre előkészített tervdokumentációt ennek figyelembevételével javította, így a részterületek sorszámozása az eljárás szer</w:t>
      </w:r>
      <w:r>
        <w:rPr>
          <w:rFonts w:eastAsia="Batang"/>
          <w:sz w:val="24"/>
          <w:szCs w:val="24"/>
        </w:rPr>
        <w:t>i</w:t>
      </w:r>
      <w:r>
        <w:rPr>
          <w:rFonts w:eastAsia="Batang"/>
          <w:sz w:val="24"/>
          <w:szCs w:val="24"/>
        </w:rPr>
        <w:t xml:space="preserve">nt időben a következő: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az</w:t>
      </w:r>
      <w:r>
        <w:rPr>
          <w:b/>
          <w:sz w:val="24"/>
          <w:szCs w:val="24"/>
        </w:rPr>
        <w:t xml:space="preserve"> I. sz. részterület</w:t>
      </w:r>
      <w:r>
        <w:rPr>
          <w:sz w:val="24"/>
          <w:szCs w:val="24"/>
        </w:rPr>
        <w:t>:</w:t>
        <w:tab/>
        <w:t>Jászapáti külterület 0282/89 hrsz.-ú telekre, multifunkciós szabadidő  sportlétesítmény /lőtér/ telepítése,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r>
        <w:rPr>
          <w:b/>
          <w:sz w:val="24"/>
          <w:szCs w:val="24"/>
        </w:rPr>
        <w:t>II. sz. részterület</w:t>
      </w:r>
      <w:r>
        <w:rPr>
          <w:sz w:val="24"/>
          <w:szCs w:val="24"/>
        </w:rPr>
        <w:t>: Jászapáti, külterület 0265/13 hrsz.-ú ingatlan építési övezetének módosítása,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és a </w:t>
      </w:r>
      <w:r>
        <w:rPr>
          <w:b/>
          <w:sz w:val="24"/>
          <w:szCs w:val="24"/>
        </w:rPr>
        <w:t>III. sz. részterület:</w:t>
      </w:r>
      <w:r>
        <w:rPr>
          <w:sz w:val="24"/>
          <w:szCs w:val="24"/>
        </w:rPr>
        <w:t xml:space="preserve"> Jászapáti 31 sz. főúttal párhuzamosan a főút  jobb oldalán több telket érintő szabályozás, kerékpárút építés megvalósulása érdekében.</w:t>
      </w:r>
    </w:p>
    <w:p>
      <w:pPr>
        <w:pStyle w:val="Normal"/>
        <w:jc w:val="both"/>
        <w:rPr/>
      </w:pPr>
      <w:r>
        <w:rPr>
          <w:rFonts w:eastAsia="Batang"/>
          <w:sz w:val="24"/>
          <w:szCs w:val="24"/>
        </w:rPr>
        <w:t xml:space="preserve">A Rendelet értelmében </w:t>
      </w:r>
      <w:r>
        <w:rPr>
          <w:rFonts w:eastAsia="Batang"/>
          <w:sz w:val="24"/>
          <w:szCs w:val="24"/>
        </w:rPr>
        <w:t xml:space="preserve">a </w:t>
      </w:r>
      <w:r>
        <w:rPr>
          <w:rFonts w:eastAsia="Batang"/>
          <w:sz w:val="24"/>
          <w:szCs w:val="24"/>
        </w:rPr>
        <w:t>Képviselő-testület dönt a környezeti vizsgálat szükségességével kapcsolatban.</w:t>
      </w:r>
    </w:p>
    <w:p>
      <w:pPr>
        <w:pStyle w:val="Normal"/>
        <w:jc w:val="both"/>
        <w:rPr>
          <w:rFonts w:eastAsia="Batang"/>
          <w:sz w:val="24"/>
          <w:szCs w:val="24"/>
        </w:rPr>
      </w:pPr>
      <w:r>
        <w:rPr>
          <w:rFonts w:eastAsia="Batang"/>
          <w:sz w:val="24"/>
          <w:szCs w:val="24"/>
        </w:rPr>
        <w:t xml:space="preserve">A beérkezett vélemények az előterjesztés mellékletét képezik. </w:t>
      </w:r>
    </w:p>
    <w:p>
      <w:pPr>
        <w:pStyle w:val="Normal"/>
        <w:jc w:val="both"/>
        <w:rPr>
          <w:rFonts w:eastAsia="Batang"/>
          <w:b/>
          <w:b/>
          <w:sz w:val="24"/>
          <w:szCs w:val="24"/>
        </w:rPr>
      </w:pPr>
      <w:r>
        <w:rPr>
          <w:rFonts w:eastAsia="Batang"/>
          <w:b/>
          <w:sz w:val="24"/>
          <w:szCs w:val="24"/>
        </w:rPr>
      </w:r>
    </w:p>
    <w:p>
      <w:pPr>
        <w:pStyle w:val="Normal"/>
        <w:jc w:val="both"/>
        <w:rPr>
          <w:rFonts w:eastAsia="Batang"/>
          <w:sz w:val="24"/>
          <w:szCs w:val="24"/>
        </w:rPr>
      </w:pPr>
      <w:r>
        <w:rPr>
          <w:rFonts w:eastAsia="Batang"/>
          <w:sz w:val="24"/>
          <w:szCs w:val="24"/>
        </w:rPr>
        <w:t>Tisztelt Képviselő-testület!</w:t>
      </w:r>
    </w:p>
    <w:p>
      <w:pPr>
        <w:pStyle w:val="Normal"/>
        <w:jc w:val="both"/>
        <w:rPr>
          <w:rFonts w:eastAsia="Batang"/>
          <w:b/>
          <w:b/>
          <w:sz w:val="24"/>
          <w:szCs w:val="24"/>
        </w:rPr>
      </w:pPr>
      <w:r>
        <w:rPr>
          <w:rFonts w:eastAsia="Batang"/>
          <w:b/>
          <w:sz w:val="24"/>
          <w:szCs w:val="24"/>
        </w:rPr>
      </w:r>
    </w:p>
    <w:p>
      <w:pPr>
        <w:pStyle w:val="Normal"/>
        <w:jc w:val="both"/>
        <w:rPr/>
      </w:pPr>
      <w:r>
        <w:rPr>
          <w:rFonts w:eastAsia="Batang"/>
          <w:sz w:val="24"/>
          <w:szCs w:val="24"/>
        </w:rPr>
        <w:t xml:space="preserve">Az államigazgatási szervek véleményeiben foglaltak alapján a </w:t>
      </w:r>
      <w:r>
        <w:rPr>
          <w:rFonts w:eastAsia="Batang"/>
          <w:sz w:val="24"/>
          <w:szCs w:val="24"/>
        </w:rPr>
        <w:t>három</w:t>
      </w:r>
      <w:r>
        <w:rPr>
          <w:rFonts w:eastAsia="Batang"/>
          <w:sz w:val="24"/>
          <w:szCs w:val="24"/>
        </w:rPr>
        <w:t xml:space="preserve"> tervezési részterületre  vonatkozóan javasolom eltekinteni a környezeti vizsgálat készítésétől, </w:t>
      </w:r>
      <w:bookmarkStart w:id="0" w:name="__DdeLink__298_3629463627"/>
      <w:r>
        <w:rPr>
          <w:rFonts w:eastAsia="Batang"/>
          <w:sz w:val="24"/>
          <w:szCs w:val="24"/>
        </w:rPr>
        <w:t>a napelemes kis erőmű építésére vonatkozó részterület esetén pedig az egyeztetés lefolytatását a jogszabályi előírásoknak megfelelően.</w:t>
      </w:r>
      <w:bookmarkEnd w:id="0"/>
    </w:p>
    <w:p>
      <w:pPr>
        <w:pStyle w:val="Normal"/>
        <w:jc w:val="both"/>
        <w:rPr/>
      </w:pPr>
      <w:r>
        <w:rPr>
          <w:rFonts w:eastAsia="Batang"/>
          <w:sz w:val="24"/>
          <w:szCs w:val="24"/>
        </w:rPr>
        <w:t>Kérem az előterjesztés megtárgyalását és a mellékelt határozati javaslat elfogadását.</w:t>
      </w:r>
    </w:p>
    <w:p>
      <w:pPr>
        <w:pStyle w:val="Normal"/>
        <w:jc w:val="both"/>
        <w:rPr>
          <w:rFonts w:eastAsia="Batang"/>
          <w:sz w:val="24"/>
          <w:szCs w:val="24"/>
        </w:rPr>
      </w:pPr>
      <w:r>
        <w:rPr>
          <w:rFonts w:eastAsia="Batang"/>
          <w:sz w:val="24"/>
          <w:szCs w:val="24"/>
        </w:rPr>
      </w:r>
    </w:p>
    <w:p>
      <w:pPr>
        <w:pStyle w:val="Normal"/>
        <w:jc w:val="center"/>
        <w:rPr>
          <w:b/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Határozati javaslat</w:t>
      </w:r>
    </w:p>
    <w:p>
      <w:pPr>
        <w:pStyle w:val="Normal"/>
        <w:jc w:val="both"/>
        <w:rPr>
          <w:rFonts w:eastAsia="Batang"/>
          <w:sz w:val="24"/>
          <w:szCs w:val="24"/>
        </w:rPr>
      </w:pPr>
      <w:r>
        <w:rPr>
          <w:rFonts w:eastAsia="Batang"/>
          <w:sz w:val="24"/>
          <w:szCs w:val="24"/>
        </w:rPr>
      </w:r>
    </w:p>
    <w:p>
      <w:pPr>
        <w:pStyle w:val="Normal"/>
        <w:jc w:val="center"/>
        <w:rPr/>
      </w:pPr>
      <w:r>
        <w:rPr>
          <w:b/>
          <w:sz w:val="24"/>
          <w:szCs w:val="24"/>
        </w:rPr>
        <w:t>...../2019. (VII.</w:t>
      </w:r>
      <w:r>
        <w:rPr>
          <w:b/>
          <w:sz w:val="24"/>
          <w:szCs w:val="24"/>
        </w:rPr>
        <w:t>18</w:t>
      </w:r>
      <w:r>
        <w:rPr>
          <w:b/>
          <w:sz w:val="24"/>
          <w:szCs w:val="24"/>
        </w:rPr>
        <w:t xml:space="preserve">.) számú </w:t>
      </w:r>
      <w:r>
        <w:rPr>
          <w:b/>
          <w:sz w:val="24"/>
          <w:szCs w:val="24"/>
        </w:rPr>
        <w:t>képviselő-testületi határozat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/>
      </w:pPr>
      <w:r>
        <w:rPr>
          <w:b/>
          <w:sz w:val="24"/>
          <w:szCs w:val="24"/>
        </w:rPr>
        <w:t xml:space="preserve">Jászapáti Város településrendezési eszközeinek – </w:t>
      </w:r>
      <w:r>
        <w:rPr>
          <w:b/>
          <w:sz w:val="24"/>
          <w:szCs w:val="24"/>
        </w:rPr>
        <w:t>négy</w:t>
      </w:r>
      <w:r>
        <w:rPr>
          <w:b/>
          <w:sz w:val="24"/>
          <w:szCs w:val="24"/>
        </w:rPr>
        <w:t xml:space="preserve"> részterületet érintő – módosításához kapcsolódó környezeti vizsgálat szükségességének megállapításáról</w:t>
      </w:r>
    </w:p>
    <w:p>
      <w:pPr>
        <w:pStyle w:val="Normal"/>
        <w:jc w:val="both"/>
        <w:rPr>
          <w:rFonts w:eastAsia="Batang"/>
          <w:b/>
          <w:b/>
          <w:sz w:val="24"/>
          <w:szCs w:val="24"/>
        </w:rPr>
      </w:pPr>
      <w:r>
        <w:rPr>
          <w:rFonts w:eastAsia="Batang"/>
          <w:b/>
          <w:sz w:val="24"/>
          <w:szCs w:val="24"/>
        </w:rPr>
      </w:r>
    </w:p>
    <w:p>
      <w:pPr>
        <w:pStyle w:val="Normal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1. </w:t>
      </w:r>
      <w:r>
        <w:rPr>
          <w:sz w:val="24"/>
          <w:szCs w:val="24"/>
        </w:rPr>
        <w:t xml:space="preserve">Jászapáti Városi Önkormányzat Képviselő-testülete a Magyarország helyi önkormányzatairól szóló 2011. évi CLXXXIX. törvény 13. § (1) pontjában a 10 § (2) bekezdésében biztosított jogkörében eljárva, valamint a 2/2005. (I.11.)  Kormányrendelet 3, 4, 5. § (3) bekezdésében kapott felhatalmazás és a meghatározott eljárási szabályok szerint Jászapáti város Településrendezési eszközeinek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az</w:t>
      </w:r>
      <w:r>
        <w:rPr>
          <w:b/>
          <w:sz w:val="24"/>
          <w:szCs w:val="24"/>
        </w:rPr>
        <w:t xml:space="preserve"> I. sz. részterület</w:t>
      </w:r>
      <w:r>
        <w:rPr>
          <w:sz w:val="24"/>
          <w:szCs w:val="24"/>
        </w:rPr>
        <w:t>:</w:t>
        <w:tab/>
        <w:t>Jászapáti külterület 0282/89 hrsz.-ú telekre, multifunkciós szabadidő  sportlétesítmény /lőtér/ telepítése,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r>
        <w:rPr>
          <w:b/>
          <w:sz w:val="24"/>
          <w:szCs w:val="24"/>
        </w:rPr>
        <w:t>II. sz. részterület</w:t>
      </w:r>
      <w:r>
        <w:rPr>
          <w:sz w:val="24"/>
          <w:szCs w:val="24"/>
        </w:rPr>
        <w:t>: Jászapáti, külterület 0265/13 hrsz.-ú ingatlan építési övezetének módosítása,</w:t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és a </w:t>
      </w:r>
      <w:r>
        <w:rPr>
          <w:b/>
          <w:sz w:val="24"/>
          <w:szCs w:val="24"/>
        </w:rPr>
        <w:t>III. sz. részterület:</w:t>
      </w:r>
      <w:r>
        <w:rPr>
          <w:sz w:val="24"/>
          <w:szCs w:val="24"/>
        </w:rPr>
        <w:t xml:space="preserve"> Jászapáti 31 sz. főúttal párhuzamosan a főút jobb oldalán több telket érintő szabályozás, kerékpárút építés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fejlesztése érdekében – tárgyalásos eljárásában történő módosításához kapcsolódóan környezeti vizsgálat elkészítését nem tartja szükségesnek, környezeti értékelés munkarészt nem készítteti el. </w:t>
      </w:r>
    </w:p>
    <w:p>
      <w:pPr>
        <w:pStyle w:val="Normal"/>
        <w:tabs>
          <w:tab w:val="clear" w:pos="708"/>
          <w:tab w:val="left" w:pos="2940" w:leader="none"/>
        </w:tabs>
        <w:rPr>
          <w:color w:val="222222"/>
          <w:sz w:val="24"/>
          <w:szCs w:val="24"/>
        </w:rPr>
      </w:pPr>
      <w:r>
        <w:rPr/>
      </w:r>
    </w:p>
    <w:p>
      <w:pPr>
        <w:pStyle w:val="Normal"/>
        <w:tabs>
          <w:tab w:val="clear" w:pos="708"/>
          <w:tab w:val="left" w:pos="2940" w:leader="none"/>
        </w:tabs>
        <w:jc w:val="both"/>
        <w:rPr>
          <w:rFonts w:eastAsia="Batang"/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 xml:space="preserve">2. Jászapáti Városi Önkormányzat Képviselő-testülete felkéri Tekse András városi főépítészt, hogy </w:t>
      </w:r>
      <w:r>
        <w:rPr>
          <w:rFonts w:eastAsia="Batang"/>
          <w:color w:val="222222"/>
          <w:sz w:val="24"/>
          <w:szCs w:val="24"/>
        </w:rPr>
        <w:t xml:space="preserve">a napelemes kis erőmű építésére vonatkozó részterület esetén az egyeztetést folytassa le a jogszabályi előírásoknak megfelelően. </w:t>
      </w:r>
    </w:p>
    <w:p>
      <w:pPr>
        <w:pStyle w:val="Normal"/>
        <w:tabs>
          <w:tab w:val="clear" w:pos="708"/>
          <w:tab w:val="left" w:pos="2940" w:leader="none"/>
        </w:tabs>
        <w:jc w:val="both"/>
        <w:rPr>
          <w:color w:val="222222"/>
          <w:sz w:val="24"/>
          <w:szCs w:val="24"/>
        </w:rPr>
      </w:pPr>
      <w:r>
        <w:rPr/>
      </w:r>
    </w:p>
    <w:p>
      <w:pPr>
        <w:pStyle w:val="Normal"/>
        <w:jc w:val="both"/>
        <w:rPr/>
      </w:pPr>
      <w:r>
        <w:rPr>
          <w:b/>
          <w:sz w:val="24"/>
          <w:szCs w:val="24"/>
          <w:u w:val="single"/>
        </w:rPr>
        <w:t>Határidő:</w:t>
      </w:r>
      <w:r>
        <w:rPr>
          <w:sz w:val="24"/>
          <w:szCs w:val="24"/>
        </w:rPr>
        <w:t xml:space="preserve"> </w:t>
        <w:tab/>
        <w:t xml:space="preserve"> 2019. július </w:t>
      </w:r>
      <w:r>
        <w:rPr>
          <w:sz w:val="24"/>
          <w:szCs w:val="24"/>
        </w:rPr>
        <w:t>30</w:t>
      </w:r>
      <w:r>
        <w:rPr>
          <w:sz w:val="24"/>
          <w:szCs w:val="24"/>
        </w:rPr>
        <w:t xml:space="preserve">. </w:t>
      </w:r>
    </w:p>
    <w:p>
      <w:pPr>
        <w:pStyle w:val="Normal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Felelős</w:t>
      </w:r>
      <w:r>
        <w:rPr>
          <w:sz w:val="24"/>
          <w:szCs w:val="24"/>
        </w:rPr>
        <w:t xml:space="preserve">: </w:t>
        <w:tab/>
        <w:t xml:space="preserve"> Farkas Ferenc  polgármester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>
        <w:rPr>
          <w:sz w:val="24"/>
          <w:szCs w:val="24"/>
        </w:rPr>
        <w:tab/>
        <w:t xml:space="preserve"> Tekse András főépítész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zvegtrzs"/>
        <w:ind w:right="58" w:hanging="0"/>
        <w:rPr>
          <w:rFonts w:eastAsia="Batang"/>
          <w:iCs/>
          <w:sz w:val="24"/>
          <w:szCs w:val="24"/>
        </w:rPr>
      </w:pPr>
      <w:r>
        <w:rPr>
          <w:rFonts w:eastAsia="Batang"/>
          <w:iCs/>
          <w:sz w:val="24"/>
          <w:szCs w:val="24"/>
        </w:rPr>
        <w:t>Határozatról értesülnek:</w:t>
      </w:r>
    </w:p>
    <w:p>
      <w:pPr>
        <w:pStyle w:val="ListParagraph"/>
        <w:numPr>
          <w:ilvl w:val="0"/>
          <w:numId w:val="1"/>
        </w:numPr>
        <w:suppressAutoHyphens w:val="false"/>
        <w:spacing w:before="0" w:after="0"/>
        <w:ind w:left="1080" w:hanging="108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Képviselő-testület tagjai</w:t>
      </w:r>
    </w:p>
    <w:p>
      <w:pPr>
        <w:pStyle w:val="ListParagraph"/>
        <w:numPr>
          <w:ilvl w:val="0"/>
          <w:numId w:val="1"/>
        </w:numPr>
        <w:suppressAutoHyphens w:val="false"/>
        <w:spacing w:before="0" w:after="0"/>
        <w:ind w:left="1080" w:hanging="1080"/>
        <w:contextualSpacing/>
        <w:jc w:val="both"/>
        <w:rPr/>
      </w:pPr>
      <w:r>
        <w:rPr>
          <w:sz w:val="24"/>
          <w:szCs w:val="24"/>
        </w:rPr>
        <w:t xml:space="preserve">Farkas Ferenc polgármester </w:t>
      </w:r>
    </w:p>
    <w:p>
      <w:pPr>
        <w:pStyle w:val="ListParagraph"/>
        <w:numPr>
          <w:ilvl w:val="0"/>
          <w:numId w:val="1"/>
        </w:numPr>
        <w:suppressAutoHyphens w:val="false"/>
        <w:spacing w:before="0" w:after="0"/>
        <w:ind w:left="1080" w:hanging="1080"/>
        <w:contextualSpacing/>
        <w:jc w:val="both"/>
        <w:rPr/>
      </w:pPr>
      <w:r>
        <w:rPr>
          <w:sz w:val="24"/>
          <w:szCs w:val="24"/>
        </w:rPr>
        <w:t xml:space="preserve">Koczáné </w:t>
      </w:r>
      <w:r>
        <w:rPr>
          <w:sz w:val="24"/>
          <w:szCs w:val="24"/>
        </w:rPr>
        <w:t>d</w:t>
      </w:r>
      <w:r>
        <w:rPr>
          <w:sz w:val="24"/>
          <w:szCs w:val="24"/>
        </w:rPr>
        <w:t xml:space="preserve">r. Fehérváry Mária  </w:t>
      </w:r>
      <w:r>
        <w:rPr>
          <w:sz w:val="24"/>
          <w:szCs w:val="24"/>
        </w:rPr>
        <w:t>a</w:t>
      </w:r>
      <w:r>
        <w:rPr>
          <w:sz w:val="24"/>
          <w:szCs w:val="24"/>
        </w:rPr>
        <w:t>ljegyző</w:t>
      </w:r>
    </w:p>
    <w:p>
      <w:pPr>
        <w:pStyle w:val="Szvegtrzs"/>
        <w:numPr>
          <w:ilvl w:val="0"/>
          <w:numId w:val="1"/>
        </w:numPr>
        <w:tabs>
          <w:tab w:val="clear" w:pos="708"/>
          <w:tab w:val="left" w:pos="567" w:leader="none"/>
        </w:tabs>
        <w:suppressAutoHyphens w:val="false"/>
        <w:spacing w:before="0" w:after="0"/>
        <w:ind w:left="567" w:right="58" w:hanging="567"/>
        <w:jc w:val="both"/>
        <w:rPr/>
      </w:pPr>
      <w:r>
        <w:rPr>
          <w:rFonts w:eastAsia="Batang"/>
          <w:sz w:val="24"/>
          <w:szCs w:val="24"/>
        </w:rPr>
        <w:t xml:space="preserve"> </w:t>
      </w:r>
      <w:r>
        <w:rPr>
          <w:rFonts w:eastAsia="Batang"/>
          <w:sz w:val="24"/>
          <w:szCs w:val="24"/>
        </w:rPr>
        <w:t xml:space="preserve">Jász-Nagykun-Szolnok Megyei Kormányhivatal Szolnoki Járási Hivatal Környezetvédelmi És Természetvédelmi Főosztály </w:t>
      </w:r>
    </w:p>
    <w:p>
      <w:pPr>
        <w:pStyle w:val="Szvegtrzs"/>
        <w:numPr>
          <w:ilvl w:val="0"/>
          <w:numId w:val="1"/>
        </w:numPr>
        <w:tabs>
          <w:tab w:val="clear" w:pos="708"/>
          <w:tab w:val="left" w:pos="567" w:leader="none"/>
        </w:tabs>
        <w:suppressAutoHyphens w:val="false"/>
        <w:spacing w:before="0" w:after="0"/>
        <w:ind w:left="567" w:right="58" w:hanging="567"/>
        <w:jc w:val="both"/>
        <w:rPr>
          <w:rFonts w:eastAsia="Batang"/>
          <w:sz w:val="24"/>
          <w:szCs w:val="24"/>
        </w:rPr>
      </w:pPr>
      <w:r>
        <w:rPr>
          <w:rFonts w:eastAsia="Batang"/>
          <w:sz w:val="24"/>
          <w:szCs w:val="24"/>
        </w:rPr>
        <w:t xml:space="preserve"> </w:t>
      </w:r>
      <w:r>
        <w:rPr>
          <w:rFonts w:eastAsia="Batang"/>
          <w:sz w:val="24"/>
          <w:szCs w:val="24"/>
        </w:rPr>
        <w:t xml:space="preserve">Hortobágyi Nemzeti Park Igazgatóság </w:t>
      </w:r>
    </w:p>
    <w:p>
      <w:pPr>
        <w:pStyle w:val="Szvegtrzs"/>
        <w:numPr>
          <w:ilvl w:val="0"/>
          <w:numId w:val="1"/>
        </w:numPr>
        <w:tabs>
          <w:tab w:val="clear" w:pos="708"/>
          <w:tab w:val="left" w:pos="567" w:leader="none"/>
        </w:tabs>
        <w:suppressAutoHyphens w:val="false"/>
        <w:spacing w:before="0" w:after="0"/>
        <w:ind w:left="567" w:right="58" w:hanging="567"/>
        <w:jc w:val="both"/>
        <w:rPr>
          <w:bCs/>
          <w:sz w:val="24"/>
          <w:szCs w:val="24"/>
        </w:rPr>
      </w:pPr>
      <w:r>
        <w:rPr>
          <w:rFonts w:eastAsia="Batang"/>
          <w:sz w:val="24"/>
          <w:szCs w:val="24"/>
        </w:rPr>
        <w:t xml:space="preserve">Jász-Nagykun-Szolnok Megyei Kormányhivatal Népegészségügyi Főosztály </w:t>
      </w:r>
    </w:p>
    <w:p>
      <w:pPr>
        <w:pStyle w:val="Szvegtrzs"/>
        <w:numPr>
          <w:ilvl w:val="0"/>
          <w:numId w:val="1"/>
        </w:numPr>
        <w:tabs>
          <w:tab w:val="clear" w:pos="708"/>
          <w:tab w:val="left" w:pos="567" w:leader="none"/>
        </w:tabs>
        <w:suppressAutoHyphens w:val="false"/>
        <w:spacing w:before="0" w:after="0"/>
        <w:ind w:left="567" w:right="58" w:hanging="567"/>
        <w:jc w:val="both"/>
        <w:rPr>
          <w:rFonts w:eastAsia="Batang"/>
          <w:sz w:val="24"/>
          <w:szCs w:val="24"/>
        </w:rPr>
      </w:pPr>
      <w:r>
        <w:rPr>
          <w:rFonts w:eastAsia="Batang"/>
          <w:sz w:val="24"/>
          <w:szCs w:val="24"/>
        </w:rPr>
        <w:t xml:space="preserve">Jász-Nagykun-Szolnok Megyei Katasztrófavédelmi Igazgatóság </w:t>
      </w:r>
    </w:p>
    <w:p>
      <w:pPr>
        <w:pStyle w:val="Szvegtrzs"/>
        <w:numPr>
          <w:ilvl w:val="0"/>
          <w:numId w:val="1"/>
        </w:numPr>
        <w:tabs>
          <w:tab w:val="clear" w:pos="708"/>
          <w:tab w:val="left" w:pos="567" w:leader="none"/>
        </w:tabs>
        <w:suppressAutoHyphens w:val="false"/>
        <w:spacing w:before="0" w:after="0"/>
        <w:ind w:left="567" w:right="58" w:hanging="567"/>
        <w:jc w:val="both"/>
        <w:rPr>
          <w:rFonts w:eastAsia="Batang"/>
          <w:sz w:val="24"/>
          <w:szCs w:val="24"/>
        </w:rPr>
      </w:pPr>
      <w:r>
        <w:rPr>
          <w:rFonts w:eastAsia="Batang"/>
          <w:sz w:val="24"/>
          <w:szCs w:val="24"/>
        </w:rPr>
        <w:t>Jász-Nagykun-Szolnok M-i Korm.hiv. Kormánymegbízotti Kabinet Állami Főépítész</w:t>
      </w:r>
    </w:p>
    <w:p>
      <w:pPr>
        <w:pStyle w:val="Szvegtrzs"/>
        <w:numPr>
          <w:ilvl w:val="0"/>
          <w:numId w:val="1"/>
        </w:numPr>
        <w:tabs>
          <w:tab w:val="clear" w:pos="708"/>
          <w:tab w:val="left" w:pos="567" w:leader="none"/>
        </w:tabs>
        <w:suppressAutoHyphens w:val="false"/>
        <w:spacing w:before="0" w:after="0"/>
        <w:ind w:left="567" w:right="58" w:hanging="567"/>
        <w:jc w:val="both"/>
        <w:rPr>
          <w:rFonts w:eastAsia="Batang"/>
          <w:sz w:val="24"/>
          <w:szCs w:val="24"/>
        </w:rPr>
      </w:pPr>
      <w:r>
        <w:rPr>
          <w:rFonts w:eastAsia="Batang"/>
          <w:sz w:val="24"/>
          <w:szCs w:val="24"/>
        </w:rPr>
        <w:t xml:space="preserve">Hajdú-Bihar M-i Korm.hiv. Debreceni Járási Hiv. Agrárügyi Főo. Erdőfelügyeleti Osztály </w:t>
      </w:r>
    </w:p>
    <w:p>
      <w:pPr>
        <w:pStyle w:val="Szvegtrzs"/>
        <w:numPr>
          <w:ilvl w:val="0"/>
          <w:numId w:val="1"/>
        </w:numPr>
        <w:tabs>
          <w:tab w:val="clear" w:pos="708"/>
          <w:tab w:val="left" w:pos="567" w:leader="none"/>
        </w:tabs>
        <w:suppressAutoHyphens w:val="false"/>
        <w:spacing w:before="0" w:after="0"/>
        <w:ind w:left="567" w:right="58" w:hanging="567"/>
        <w:jc w:val="both"/>
        <w:rPr>
          <w:rFonts w:eastAsia="Batang"/>
          <w:sz w:val="24"/>
          <w:szCs w:val="24"/>
        </w:rPr>
      </w:pPr>
      <w:r>
        <w:rPr>
          <w:rFonts w:eastAsia="Batang"/>
          <w:sz w:val="24"/>
          <w:szCs w:val="24"/>
        </w:rPr>
        <w:t>Jász-Nagykun-Szolnok Megyei Kormányhivatal Szolnoki Járási Hivatal Agrárügyi Főosztály Növény- és Talajvédelmi Osztály</w:t>
      </w:r>
    </w:p>
    <w:p>
      <w:pPr>
        <w:pStyle w:val="Szvegtrzs"/>
        <w:numPr>
          <w:ilvl w:val="0"/>
          <w:numId w:val="1"/>
        </w:numPr>
        <w:tabs>
          <w:tab w:val="clear" w:pos="708"/>
          <w:tab w:val="left" w:pos="567" w:leader="none"/>
        </w:tabs>
        <w:suppressAutoHyphens w:val="false"/>
        <w:spacing w:before="0" w:after="0"/>
        <w:ind w:left="567" w:right="58" w:hanging="567"/>
        <w:jc w:val="both"/>
        <w:rPr>
          <w:rFonts w:eastAsia="Batang"/>
          <w:sz w:val="24"/>
          <w:szCs w:val="24"/>
        </w:rPr>
      </w:pPr>
      <w:r>
        <w:rPr>
          <w:rFonts w:eastAsia="Batang"/>
          <w:sz w:val="24"/>
          <w:szCs w:val="24"/>
        </w:rPr>
        <w:t>Jász-Nagykun-Szolnok Megyei Kormányhivatal Hatósági Főosztály Bányászati Osztály</w:t>
      </w:r>
    </w:p>
    <w:p>
      <w:pPr>
        <w:pStyle w:val="Szvegtrzs"/>
        <w:numPr>
          <w:ilvl w:val="0"/>
          <w:numId w:val="1"/>
        </w:numPr>
        <w:tabs>
          <w:tab w:val="clear" w:pos="708"/>
          <w:tab w:val="left" w:pos="567" w:leader="none"/>
        </w:tabs>
        <w:suppressAutoHyphens w:val="false"/>
        <w:spacing w:before="0" w:after="0"/>
        <w:ind w:left="567" w:right="58" w:hanging="567"/>
        <w:jc w:val="both"/>
        <w:rPr>
          <w:rFonts w:eastAsia="Batang"/>
          <w:sz w:val="24"/>
          <w:szCs w:val="24"/>
        </w:rPr>
      </w:pPr>
      <w:r>
        <w:rPr>
          <w:rFonts w:eastAsia="Batang"/>
          <w:sz w:val="24"/>
          <w:szCs w:val="24"/>
        </w:rPr>
        <w:t xml:space="preserve">Budapest Főváros Kormányhivatala Építésügyi és Örökségvédelmi, Hatósági, Oktatási és Törvényességi Felügyeleti Főosztály Örökségvédelmi osztály </w:t>
      </w:r>
      <w:bookmarkStart w:id="1" w:name="_GoBack"/>
      <w:bookmarkEnd w:id="1"/>
    </w:p>
    <w:p>
      <w:pPr>
        <w:pStyle w:val="Szvegtrzs"/>
        <w:numPr>
          <w:ilvl w:val="0"/>
          <w:numId w:val="1"/>
        </w:numPr>
        <w:tabs>
          <w:tab w:val="clear" w:pos="708"/>
          <w:tab w:val="left" w:pos="567" w:leader="none"/>
        </w:tabs>
        <w:suppressAutoHyphens w:val="false"/>
        <w:spacing w:before="0" w:after="0"/>
        <w:ind w:left="567" w:right="58" w:hanging="567"/>
        <w:jc w:val="both"/>
        <w:rPr>
          <w:rFonts w:eastAsia="Batang"/>
          <w:sz w:val="24"/>
          <w:szCs w:val="24"/>
        </w:rPr>
      </w:pPr>
      <w:r>
        <w:rPr>
          <w:rFonts w:eastAsia="Batang"/>
          <w:sz w:val="24"/>
          <w:szCs w:val="24"/>
        </w:rPr>
        <w:t xml:space="preserve">Jász-Nagykun Szolnok M-i Korm.hiv. Élelmiszerlánc-Bizt. és  Földhivatali Főosztály </w:t>
      </w:r>
    </w:p>
    <w:p>
      <w:pPr>
        <w:pStyle w:val="Szvegtrzs"/>
        <w:numPr>
          <w:ilvl w:val="0"/>
          <w:numId w:val="1"/>
        </w:numPr>
        <w:tabs>
          <w:tab w:val="clear" w:pos="708"/>
          <w:tab w:val="left" w:pos="567" w:leader="none"/>
        </w:tabs>
        <w:suppressAutoHyphens w:val="false"/>
        <w:spacing w:before="0" w:after="0"/>
        <w:ind w:left="567" w:right="58" w:hanging="567"/>
        <w:jc w:val="both"/>
        <w:rPr>
          <w:rFonts w:eastAsia="Batang"/>
          <w:sz w:val="24"/>
          <w:szCs w:val="24"/>
        </w:rPr>
      </w:pPr>
      <w:r>
        <w:rPr>
          <w:sz w:val="24"/>
          <w:szCs w:val="24"/>
        </w:rPr>
        <w:t xml:space="preserve">Kiszelovics Ildikó Szolnok, településtervező </w:t>
      </w:r>
    </w:p>
    <w:p>
      <w:pPr>
        <w:pStyle w:val="Szvegtrzs"/>
        <w:numPr>
          <w:ilvl w:val="0"/>
          <w:numId w:val="1"/>
        </w:numPr>
        <w:tabs>
          <w:tab w:val="clear" w:pos="708"/>
          <w:tab w:val="left" w:pos="567" w:leader="none"/>
        </w:tabs>
        <w:suppressAutoHyphens w:val="false"/>
        <w:spacing w:before="0" w:after="0"/>
        <w:ind w:left="567" w:right="58" w:hanging="567"/>
        <w:jc w:val="both"/>
        <w:rPr>
          <w:rFonts w:eastAsia="Batang"/>
          <w:sz w:val="24"/>
          <w:szCs w:val="24"/>
        </w:rPr>
      </w:pPr>
      <w:r>
        <w:rPr>
          <w:sz w:val="24"/>
          <w:szCs w:val="24"/>
        </w:rPr>
        <w:t>MVH Zöldgenerációs Kft. – beruházó</w:t>
      </w:r>
    </w:p>
    <w:p>
      <w:pPr>
        <w:pStyle w:val="Szvegtrzs"/>
        <w:numPr>
          <w:ilvl w:val="0"/>
          <w:numId w:val="1"/>
        </w:numPr>
        <w:tabs>
          <w:tab w:val="clear" w:pos="708"/>
          <w:tab w:val="left" w:pos="567" w:leader="none"/>
        </w:tabs>
        <w:suppressAutoHyphens w:val="false"/>
        <w:spacing w:before="0" w:after="0"/>
        <w:ind w:left="567" w:right="58" w:hanging="567"/>
        <w:jc w:val="both"/>
        <w:rPr>
          <w:rFonts w:eastAsia="Batang"/>
          <w:sz w:val="24"/>
          <w:szCs w:val="24"/>
        </w:rPr>
      </w:pPr>
      <w:r>
        <w:rPr>
          <w:sz w:val="24"/>
          <w:szCs w:val="24"/>
        </w:rPr>
        <w:t>ifj. Pócs János, Jászapáti - beruházó</w:t>
      </w:r>
    </w:p>
    <w:p>
      <w:pPr>
        <w:pStyle w:val="Szvegtrzs"/>
        <w:numPr>
          <w:ilvl w:val="0"/>
          <w:numId w:val="1"/>
        </w:numPr>
        <w:tabs>
          <w:tab w:val="clear" w:pos="708"/>
          <w:tab w:val="left" w:pos="567" w:leader="none"/>
        </w:tabs>
        <w:suppressAutoHyphens w:val="false"/>
        <w:spacing w:before="0" w:after="0"/>
        <w:ind w:left="567" w:right="58" w:hanging="567"/>
        <w:jc w:val="both"/>
        <w:rPr/>
      </w:pPr>
      <w:r>
        <w:rPr>
          <w:sz w:val="24"/>
          <w:szCs w:val="24"/>
        </w:rPr>
        <w:t xml:space="preserve">Tekse András főépítész </w:t>
      </w:r>
    </w:p>
    <w:p>
      <w:pPr>
        <w:pStyle w:val="Szvegtrzs"/>
        <w:numPr>
          <w:ilvl w:val="0"/>
          <w:numId w:val="1"/>
        </w:numPr>
        <w:tabs>
          <w:tab w:val="clear" w:pos="708"/>
          <w:tab w:val="left" w:pos="567" w:leader="none"/>
        </w:tabs>
        <w:suppressAutoHyphens w:val="false"/>
        <w:spacing w:before="0" w:after="0"/>
        <w:ind w:left="567" w:right="58" w:hanging="567"/>
        <w:jc w:val="both"/>
        <w:rPr>
          <w:rFonts w:eastAsia="Batang"/>
          <w:sz w:val="24"/>
          <w:szCs w:val="24"/>
        </w:rPr>
      </w:pPr>
      <w:r>
        <w:rPr>
          <w:sz w:val="24"/>
          <w:szCs w:val="24"/>
        </w:rPr>
        <w:t xml:space="preserve">Irattár </w:t>
      </w:r>
    </w:p>
    <w:p>
      <w:pPr>
        <w:pStyle w:val="Szvegtrzs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zvegtrzs"/>
        <w:jc w:val="both"/>
        <w:rPr/>
      </w:pPr>
      <w:r>
        <w:rPr>
          <w:sz w:val="24"/>
          <w:szCs w:val="24"/>
        </w:rPr>
        <w:t>Jászapáti, 2019. július 1</w:t>
      </w:r>
      <w:r>
        <w:rPr>
          <w:sz w:val="24"/>
          <w:szCs w:val="24"/>
        </w:rPr>
        <w:t>7</w:t>
      </w:r>
      <w:r>
        <w:rPr>
          <w:sz w:val="24"/>
          <w:szCs w:val="24"/>
        </w:rPr>
        <w:t>.</w:t>
      </w:r>
    </w:p>
    <w:p>
      <w:pPr>
        <w:pStyle w:val="Szvegtrzs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zvegtrzs"/>
        <w:spacing w:before="0" w:after="0"/>
        <w:ind w:firstLine="582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zvegtrzs"/>
        <w:spacing w:before="0" w:after="0"/>
        <w:ind w:firstLine="582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zvegtrzs"/>
        <w:spacing w:before="0" w:after="0"/>
        <w:ind w:firstLine="58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>Farkas Ferenc</w:t>
      </w:r>
    </w:p>
    <w:p>
      <w:pPr>
        <w:pStyle w:val="Szvegtrzs"/>
        <w:spacing w:before="0" w:after="0"/>
        <w:ind w:firstLine="595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polgármester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8" w:right="1418" w:header="720" w:top="851" w:footer="72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644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hu-H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hu-H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d4ce5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2"/>
      <w:sz w:val="20"/>
      <w:szCs w:val="20"/>
      <w:lang w:eastAsia="ar-SA" w:val="hu-H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zvegtrzsChar" w:customStyle="1">
    <w:name w:val="Szövegtörzs Char"/>
    <w:basedOn w:val="DefaultParagraphFont"/>
    <w:link w:val="Szvegtrzs"/>
    <w:qFormat/>
    <w:rsid w:val="005d4ce5"/>
    <w:rPr>
      <w:rFonts w:ascii="Times New Roman" w:hAnsi="Times New Roman" w:eastAsia="Times New Roman" w:cs="Times New Roman"/>
      <w:kern w:val="2"/>
      <w:sz w:val="20"/>
      <w:szCs w:val="20"/>
      <w:lang w:eastAsia="ar-SA"/>
    </w:rPr>
  </w:style>
  <w:style w:type="character" w:styleId="BuborkszvegChar" w:customStyle="1">
    <w:name w:val="Buborékszöveg Char"/>
    <w:basedOn w:val="DefaultParagraphFont"/>
    <w:link w:val="Buborkszveg"/>
    <w:uiPriority w:val="99"/>
    <w:semiHidden/>
    <w:qFormat/>
    <w:rsid w:val="00fa2c1c"/>
    <w:rPr>
      <w:rFonts w:ascii="Segoe UI" w:hAnsi="Segoe UI" w:eastAsia="Times New Roman" w:cs="Segoe UI"/>
      <w:kern w:val="2"/>
      <w:sz w:val="18"/>
      <w:szCs w:val="18"/>
      <w:lang w:eastAsia="ar-SA"/>
    </w:rPr>
  </w:style>
  <w:style w:type="character" w:styleId="ListLabel1">
    <w:name w:val="ListLabel 1"/>
    <w:qFormat/>
    <w:rPr>
      <w:rFonts w:eastAsia="Times New Roman" w:cs="Times New Roman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paragraph" w:styleId="Cmsor">
    <w:name w:val="Címsor"/>
    <w:basedOn w:val="Normal"/>
    <w:next w:val="Szvegtrzs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zvegtrzs">
    <w:name w:val="Body Text"/>
    <w:basedOn w:val="Normal"/>
    <w:link w:val="SzvegtrzsChar"/>
    <w:rsid w:val="005d4ce5"/>
    <w:pPr>
      <w:spacing w:before="0" w:after="120"/>
    </w:pPr>
    <w:rPr/>
  </w:style>
  <w:style w:type="paragraph" w:styleId="Lista">
    <w:name w:val="List"/>
    <w:basedOn w:val="Szvegtrzs"/>
    <w:pPr/>
    <w:rPr>
      <w:rFonts w:cs="Arial"/>
    </w:rPr>
  </w:style>
  <w:style w:type="paragraph" w:styleId="Felirat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Trgymutat">
    <w:name w:val="Tárgymutató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5d4ce5"/>
    <w:pPr>
      <w:ind w:left="708" w:hanging="0"/>
    </w:pPr>
    <w:rPr/>
  </w:style>
  <w:style w:type="paragraph" w:styleId="Uj" w:customStyle="1">
    <w:name w:val="uj"/>
    <w:basedOn w:val="Normal"/>
    <w:qFormat/>
    <w:rsid w:val="005d4ce5"/>
    <w:pPr>
      <w:suppressAutoHyphens w:val="false"/>
      <w:spacing w:beforeAutospacing="1" w:afterAutospacing="1"/>
    </w:pPr>
    <w:rPr>
      <w:kern w:val="0"/>
      <w:sz w:val="24"/>
      <w:szCs w:val="24"/>
      <w:lang w:eastAsia="hu-HU"/>
    </w:rPr>
  </w:style>
  <w:style w:type="paragraph" w:styleId="BalloonText">
    <w:name w:val="Balloon Text"/>
    <w:basedOn w:val="Normal"/>
    <w:link w:val="BuborkszvegChar"/>
    <w:uiPriority w:val="99"/>
    <w:semiHidden/>
    <w:unhideWhenUsed/>
    <w:qFormat/>
    <w:rsid w:val="00fa2c1c"/>
    <w:pPr/>
    <w:rPr>
      <w:rFonts w:ascii="Segoe UI" w:hAnsi="Segoe UI" w:cs="Segoe UI"/>
      <w:sz w:val="18"/>
      <w:szCs w:val="18"/>
    </w:rPr>
  </w:style>
  <w:style w:type="paragraph" w:styleId="Textbody" w:customStyle="1">
    <w:name w:val="Text body"/>
    <w:basedOn w:val="Normal"/>
    <w:qFormat/>
    <w:rsid w:val="0059231a"/>
    <w:pPr>
      <w:spacing w:lineRule="auto" w:line="288" w:before="0" w:after="140"/>
    </w:pPr>
    <w:rPr>
      <w:rFonts w:ascii="Calibri" w:hAnsi="Calibri" w:eastAsia="Calibri"/>
      <w:kern w:val="2"/>
      <w:sz w:val="22"/>
      <w:szCs w:val="22"/>
      <w:lang w:eastAsia="zh-C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Application>LibreOffice/6.2.0.3$Windows_x86 LibreOffice_project/98c6a8a1c6c7b144ce3cc729e34964b47ce25d62</Application>
  <Pages>3</Pages>
  <Words>879</Words>
  <Characters>6758</Characters>
  <CharactersWithSpaces>7636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2019-07-17T04:42:00Z</dcterms:created>
  <dc:creator>felhasznalo</dc:creator>
  <dc:description/>
  <dc:language>hu-HU</dc:language>
  <cp:lastModifiedBy/>
  <cp:lastPrinted>2019-07-17T09:47:41Z</cp:lastPrinted>
  <dcterms:modified xsi:type="dcterms:W3CDTF">2019-07-17T09:51:13Z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