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center"/>
        <w:rPr/>
      </w:pPr>
      <w:r>
        <w:rPr>
          <w:rFonts w:ascii="Times New Roman" w:hAnsi="Times New Roman"/>
          <w:b/>
          <w:sz w:val="24"/>
          <w:szCs w:val="24"/>
          <w:lang w:eastAsia="hu-HU"/>
        </w:rPr>
        <w:tab/>
        <w:tab/>
        <w:t>Jászapáti Város Polgármestere</w:t>
        <w:br/>
        <w:tab/>
        <w:tab/>
      </w:r>
      <w:r>
        <w:rPr>
          <w:rFonts w:ascii="Times New Roman" w:hAnsi="Times New Roman"/>
          <w:sz w:val="24"/>
          <w:szCs w:val="24"/>
        </w:rPr>
        <w:t>5130 Jászapáti, dr. Szlovencsák Imre út 2.; Pf.: 28.</w:t>
        <w:br/>
        <w:t xml:space="preserve">Tel.: 57/540-100; Fax: 57/440-338; </w:t>
      </w:r>
      <w:r>
        <w:drawing>
          <wp:anchor behindDoc="0" distT="0" distB="6985" distL="0" distR="114300" simplePos="0" locked="0" layoutInCell="1" allowOverlap="1" relativeHeight="2">
            <wp:simplePos x="0" y="0"/>
            <wp:positionH relativeFrom="column">
              <wp:posOffset>0</wp:posOffset>
            </wp:positionH>
            <wp:positionV relativeFrom="paragraph">
              <wp:posOffset>-140335</wp:posOffset>
            </wp:positionV>
            <wp:extent cx="747395" cy="831215"/>
            <wp:effectExtent l="0" t="0" r="0" b="0"/>
            <wp:wrapSquare wrapText="bothSides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24"/>
          <w:szCs w:val="24"/>
        </w:rPr>
        <w:t>w</w:t>
      </w:r>
      <w:r>
        <w:rPr>
          <w:rFonts w:ascii="Times New Roman" w:hAnsi="Times New Roman"/>
          <w:color w:val="000000"/>
          <w:sz w:val="24"/>
          <w:szCs w:val="24"/>
        </w:rPr>
        <w:t xml:space="preserve">ww.jaszapati.hu; titkarsag@jaszapati.hu </w:t>
      </w:r>
    </w:p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mc:AlternateContent>
          <mc:Choice Requires="wps">
            <w:drawing>
              <wp:anchor behindDoc="1" distT="0" distB="0" distL="0" distR="0" simplePos="0" locked="0" layoutInCell="1" allowOverlap="1" relativeHeight="3" wp14:anchorId="562DDDDA">
                <wp:simplePos x="0" y="0"/>
                <wp:positionH relativeFrom="column">
                  <wp:posOffset>186055</wp:posOffset>
                </wp:positionH>
                <wp:positionV relativeFrom="paragraph">
                  <wp:posOffset>-45720</wp:posOffset>
                </wp:positionV>
                <wp:extent cx="5563235" cy="635"/>
                <wp:effectExtent l="11430" t="8255" r="5080" b="10795"/>
                <wp:wrapNone/>
                <wp:docPr id="2" name="Egyenes összekötő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72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4.65pt,-3.6pt" to="452.6pt,-3.6pt" ID="Egyenes összekötő 6" stroked="t" style="position:absolute" wp14:anchorId="562DDDDA">
                <v:stroke color="black" weight="9360" joinstyle="miter" endcap="flat"/>
                <v:fill o:detectmouseclick="t" on="false"/>
              </v:line>
            </w:pict>
          </mc:Fallback>
        </mc:AlternateContent>
      </w:r>
    </w:p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 L Ő T E R J E S Z T É S</w:t>
      </w:r>
    </w:p>
    <w:p>
      <w:pPr>
        <w:pStyle w:val="Normal"/>
        <w:jc w:val="center"/>
        <w:rPr/>
      </w:pPr>
      <w:r>
        <w:rPr>
          <w:b/>
          <w:sz w:val="24"/>
          <w:szCs w:val="24"/>
        </w:rPr>
        <w:t>Jászapáti Város településrendezési eszközeinek – négy részterületét érintő – módosítása kapcsán a partnerségi egyeztetés során beérkezett vélemények elfogadásáról és lezárásáról</w:t>
      </w:r>
    </w:p>
    <w:p>
      <w:pPr>
        <w:pStyle w:val="Normal"/>
        <w:jc w:val="left"/>
        <w:rPr>
          <w:b w:val="false"/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Tisztelt Képviselő-testület!</w:t>
      </w:r>
    </w:p>
    <w:p>
      <w:pPr>
        <w:pStyle w:val="Normal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Jászapáti Városi Önkormányzat Képviselő-testülete határozatokkal döntött a település jelenlegi hatályos településrendezési eszközeinek módosításáról.</w:t>
      </w:r>
    </w:p>
    <w:p>
      <w:pPr>
        <w:pStyle w:val="Normal"/>
        <w:jc w:val="both"/>
        <w:rPr>
          <w:b/>
          <w:b/>
          <w:bCs/>
          <w:u w:val="single"/>
        </w:rPr>
      </w:pPr>
      <w:r>
        <w:rPr>
          <w:b/>
          <w:bCs/>
          <w:sz w:val="24"/>
          <w:szCs w:val="24"/>
          <w:u w:val="single"/>
        </w:rPr>
        <w:t xml:space="preserve">A módosítás négy részterületet érint: </w:t>
      </w:r>
    </w:p>
    <w:p>
      <w:pPr>
        <w:pStyle w:val="Normal"/>
        <w:jc w:val="both"/>
        <w:rPr/>
      </w:pPr>
      <w:r>
        <w:rPr>
          <w:b/>
          <w:sz w:val="24"/>
          <w:szCs w:val="24"/>
        </w:rPr>
        <w:t>I. sz. részterület</w:t>
      </w:r>
      <w:r>
        <w:rPr>
          <w:sz w:val="24"/>
          <w:szCs w:val="24"/>
        </w:rPr>
        <w:t>:</w:t>
        <w:tab/>
        <w:t>Jászapáti külterület 0282/89 hrsz.-ú telekre, multifunkciós szabadidő  sportlétesítmény /lőtér/ telepítése,</w:t>
      </w:r>
    </w:p>
    <w:p>
      <w:pPr>
        <w:pStyle w:val="Normal"/>
        <w:jc w:val="both"/>
        <w:rPr/>
      </w:pPr>
      <w:r>
        <w:rPr>
          <w:b/>
          <w:sz w:val="24"/>
          <w:szCs w:val="24"/>
        </w:rPr>
        <w:t>II. sz. részterület</w:t>
      </w:r>
      <w:r>
        <w:rPr>
          <w:sz w:val="24"/>
          <w:szCs w:val="24"/>
        </w:rPr>
        <w:t>: Jászapáti, belterület 1346 (1346/1 és 1346/2) hrsz.-ú telkekre napelemes kis erőmű telepítése,</w:t>
      </w:r>
    </w:p>
    <w:p>
      <w:pPr>
        <w:pStyle w:val="Normal"/>
        <w:jc w:val="both"/>
        <w:rPr/>
      </w:pPr>
      <w:r>
        <w:rPr>
          <w:b/>
          <w:sz w:val="24"/>
          <w:szCs w:val="24"/>
        </w:rPr>
        <w:t>III. sz. részterület:</w:t>
      </w:r>
      <w:r>
        <w:rPr>
          <w:sz w:val="24"/>
          <w:szCs w:val="24"/>
        </w:rPr>
        <w:t xml:space="preserve"> Jászapáti 31 sz. főúttal párhuzamosan a főút jobb oldalán több telket érintő szabályozás, kerékpárút építése, </w:t>
      </w:r>
    </w:p>
    <w:p>
      <w:pPr>
        <w:pStyle w:val="Normal"/>
        <w:jc w:val="both"/>
        <w:rPr/>
      </w:pPr>
      <w:r>
        <w:rPr>
          <w:b/>
          <w:sz w:val="24"/>
          <w:szCs w:val="24"/>
        </w:rPr>
        <w:t>IV. sz. részterület</w:t>
      </w:r>
      <w:r>
        <w:rPr>
          <w:sz w:val="24"/>
          <w:szCs w:val="24"/>
        </w:rPr>
        <w:t>: Jászapáti, külterület 0265/13 hrsz.-ú ingatlan építési övezetének módosítása.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>A négy fejlesztési területet érintő módosítás együtt, tárgyalásos eljárással folyik.</w:t>
      </w:r>
    </w:p>
    <w:p>
      <w:pPr>
        <w:pStyle w:val="NormalWeb"/>
        <w:spacing w:beforeAutospacing="0" w:before="0" w:afterAutospacing="0" w:after="0"/>
        <w:jc w:val="both"/>
        <w:rPr/>
      </w:pPr>
      <w:r>
        <w:rPr/>
        <w:t xml:space="preserve">Az </w:t>
      </w:r>
      <w:r>
        <w:rPr>
          <w:rStyle w:val="Strong"/>
          <w:b w:val="false"/>
        </w:rPr>
        <w:t>Önkormányzat a</w:t>
      </w:r>
      <w:r>
        <w:rPr>
          <w:rStyle w:val="Strong"/>
        </w:rPr>
        <w:t xml:space="preserve"> </w:t>
      </w:r>
      <w:r>
        <w:rPr/>
        <w:t>településfejlesztési koncepcióról, az integrált településfejlesztési stratégiáról és a településrendezési eszközökről, valamint egyes településrendezési sajátos jogintézményekről szóló 314/2012. (XI. 8.) Korm. rendelet (továbbiakban: Korm. rendelet) 29/A. §, valamint Jászapáti Városi Önkormányzat Képviselő-testületének A partnerségi egyeztetés szabályairól szóló 20/2017. (IX.22.) önkormányzati rendeletében (továbbiakban: Partnerségi szabályzat) foglaltak szerint a módosításokhoz kapcsolódó dokumentációt partnerségi véleményezésre bocsájtotta.</w:t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color w:val="000000"/>
        </w:rPr>
        <w:t xml:space="preserve">A kapcsolódó dokumentációk teljes terjedelemben </w:t>
      </w:r>
      <w:r>
        <w:rPr/>
        <w:t>megtekinthető</w:t>
      </w:r>
      <w:r>
        <w:rPr/>
        <w:t>e</w:t>
      </w:r>
      <w:r>
        <w:rPr/>
        <w:t xml:space="preserve">k voltak a </w:t>
      </w:r>
      <w:r>
        <w:rPr>
          <w:color w:val="000000"/>
        </w:rPr>
        <w:t xml:space="preserve">Partnerségi szabályzatban előírt </w:t>
      </w:r>
      <w:r>
        <w:rPr/>
        <w:t>megjelenítési formában. Lakossági fórum 2019. június 27-én 16</w:t>
      </w:r>
      <w:r>
        <w:rPr>
          <w:vertAlign w:val="superscript"/>
        </w:rPr>
        <w:t>00</w:t>
      </w:r>
      <w:r>
        <w:rPr/>
        <w:t xml:space="preserve"> órakor a  Városháza házasságkötő termében megrendezésre került.</w:t>
      </w:r>
    </w:p>
    <w:p>
      <w:pPr>
        <w:pStyle w:val="Normal"/>
        <w:spacing w:before="0" w:after="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közzétett tájékoztató alapján a témával kapcsolatban véleményt, észrevételt tehetett a Partnerségi szabályzat szerint:</w:t>
      </w:r>
    </w:p>
    <w:p>
      <w:pPr>
        <w:pStyle w:val="ListParagraph"/>
        <w:numPr>
          <w:ilvl w:val="0"/>
          <w:numId w:val="2"/>
        </w:numPr>
        <w:spacing w:before="0" w:after="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a település lakossága,</w:t>
      </w:r>
    </w:p>
    <w:p>
      <w:pPr>
        <w:pStyle w:val="ListParagraph"/>
        <w:numPr>
          <w:ilvl w:val="0"/>
          <w:numId w:val="2"/>
        </w:numPr>
        <w:spacing w:before="0" w:after="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a településen működő érdekképviseleti szervezetek,</w:t>
      </w:r>
    </w:p>
    <w:p>
      <w:pPr>
        <w:pStyle w:val="ListParagraph"/>
        <w:numPr>
          <w:ilvl w:val="0"/>
          <w:numId w:val="2"/>
        </w:numPr>
        <w:spacing w:before="0" w:after="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a településen működő civil szervezetek,</w:t>
      </w:r>
    </w:p>
    <w:p>
      <w:pPr>
        <w:pStyle w:val="ListParagraph"/>
        <w:numPr>
          <w:ilvl w:val="0"/>
          <w:numId w:val="2"/>
        </w:numPr>
        <w:spacing w:before="0" w:after="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a településen bejelentett székhelyű és a településen székhellyel, telephellyel rendelkező gazdálkodó szervezetek,</w:t>
      </w:r>
    </w:p>
    <w:p>
      <w:pPr>
        <w:pStyle w:val="ListParagraph"/>
        <w:numPr>
          <w:ilvl w:val="0"/>
          <w:numId w:val="2"/>
        </w:numPr>
        <w:spacing w:before="0" w:after="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a településen működő vallási közösségek.</w:t>
      </w:r>
    </w:p>
    <w:p>
      <w:pPr>
        <w:pStyle w:val="ListParagraph"/>
        <w:numPr>
          <w:ilvl w:val="0"/>
          <w:numId w:val="2"/>
        </w:numPr>
        <w:spacing w:before="0" w:after="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minden, településfejlesztési, településrendezési építészeti, mérnöki, városvédő szakmai érdekképviseleti szervezet, egyesület, magán és jogi személyek, aki a városban székhellyel vagy irodával rendelkezik.</w:t>
      </w:r>
    </w:p>
    <w:p>
      <w:pPr>
        <w:pStyle w:val="Normal"/>
        <w:ind w:left="284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color w:val="000000"/>
          <w:sz w:val="24"/>
          <w:szCs w:val="24"/>
        </w:rPr>
        <w:t>A fentiek értelmében a tárgyalásos eljárás kapcsán a településrendezési eszköz tervezete a végső szakmai véleményezési szakasz kezdeményezése előtt véleményeztetésre került a partnerekkel a Korm. rendelet 29/A. § szerint.</w:t>
      </w:r>
    </w:p>
    <w:p>
      <w:pPr>
        <w:pStyle w:val="Normal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 lakossági fórumon – ahol ismertetésre került a tervezett módosítás - szóban észrevétel,  kérdés és vélemény nem hangzott el. </w:t>
      </w:r>
    </w:p>
    <w:p>
      <w:pPr>
        <w:pStyle w:val="Normal"/>
        <w:jc w:val="both"/>
        <w:rPr/>
      </w:pPr>
      <w:r>
        <w:rPr>
          <w:bCs/>
          <w:sz w:val="24"/>
          <w:szCs w:val="24"/>
        </w:rPr>
        <w:t xml:space="preserve">A közzététel ideje alatt, továbbá a lakossági fórumtól számított 8 napon belül, 2019. július 06-ig a tárgyhoz kapcsolódó </w:t>
      </w:r>
      <w:r>
        <w:rPr>
          <w:color w:val="000000"/>
          <w:sz w:val="24"/>
          <w:szCs w:val="24"/>
        </w:rPr>
        <w:t>vélemény, észrevétel nem érkezett, mint azt a mellékelt jegyzőkönyv is megállapította.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Korm. r</w:t>
      </w:r>
      <w:r>
        <w:rPr>
          <w:color w:val="000000"/>
          <w:sz w:val="24"/>
          <w:szCs w:val="24"/>
        </w:rPr>
        <w:t>end</w:t>
      </w:r>
      <w:r>
        <w:rPr>
          <w:color w:val="000000"/>
          <w:sz w:val="24"/>
          <w:szCs w:val="24"/>
        </w:rPr>
        <w:t>. 42. § (1) értelmében a partnerségi egyeztetés lezárásáról döntést kell hozni, ezt követően kezdeményezhető a végső szakmai véleményezési szakasz lefolytatása az állami főépítésznél.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/>
      </w:pPr>
      <w:r>
        <w:rPr>
          <w:color w:val="000000"/>
          <w:sz w:val="24"/>
          <w:szCs w:val="24"/>
        </w:rPr>
        <w:t>Tisztelt Képviselő-testület!</w:t>
      </w:r>
    </w:p>
    <w:p>
      <w:pPr>
        <w:pStyle w:val="Normal"/>
        <w:jc w:val="both"/>
        <w:rPr/>
      </w:pPr>
      <w:r>
        <w:rPr>
          <w:color w:val="000000"/>
          <w:sz w:val="24"/>
          <w:szCs w:val="24"/>
        </w:rPr>
        <w:t xml:space="preserve">Fenti előzmények ismeretében kérem az előterjesztés megtárgyalását és az alábbi Képviselő-testületi határozati javaslat elfogadását. 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/>
      </w:r>
    </w:p>
    <w:p>
      <w:pPr>
        <w:pStyle w:val="Normal"/>
        <w:jc w:val="center"/>
        <w:rPr/>
      </w:pPr>
      <w:r>
        <w:rPr>
          <w:rFonts w:eastAsia="Batang"/>
          <w:b/>
          <w:sz w:val="24"/>
          <w:szCs w:val="24"/>
          <w:u w:val="single"/>
        </w:rPr>
        <w:t>Határozati javaslat:</w:t>
      </w:r>
    </w:p>
    <w:p>
      <w:pPr>
        <w:pStyle w:val="Normal"/>
        <w:jc w:val="center"/>
        <w:rPr/>
      </w:pPr>
      <w:r>
        <w:rPr>
          <w:b/>
          <w:sz w:val="24"/>
          <w:szCs w:val="24"/>
        </w:rPr>
        <w:t>................/2019. (VII.</w:t>
      </w:r>
      <w:r>
        <w:rPr>
          <w:b/>
          <w:sz w:val="24"/>
          <w:szCs w:val="24"/>
        </w:rPr>
        <w:t>18.</w:t>
      </w:r>
      <w:r>
        <w:rPr>
          <w:b/>
          <w:sz w:val="24"/>
          <w:szCs w:val="24"/>
        </w:rPr>
        <w:t>)  számú képviselő-testületi határozat</w:t>
      </w:r>
    </w:p>
    <w:p>
      <w:pPr>
        <w:pStyle w:val="Normal"/>
        <w:jc w:val="center"/>
        <w:rPr/>
      </w:pPr>
      <w:r>
        <w:rPr>
          <w:b/>
          <w:sz w:val="24"/>
          <w:szCs w:val="24"/>
        </w:rPr>
        <w:t>Jászapáti Város településrendezési eszközeinek –  négy részterületet érintő  – módosítása kapcsán a partnerségi egyeztetés során beérkezett vélemények elfogadásáról és  lezárásáról</w:t>
      </w:r>
    </w:p>
    <w:p>
      <w:pPr>
        <w:pStyle w:val="Normal"/>
        <w:jc w:val="both"/>
        <w:rPr/>
      </w:pPr>
      <w:r>
        <w:rPr>
          <w:sz w:val="24"/>
          <w:szCs w:val="24"/>
        </w:rPr>
        <w:t>1. Jászapáti Városi Önkormányzat Képviselő – testülete a Magyarország helyi önkormányzatairól szóló 2011. évi CLXXXIX. tv. 13. § (1) bekezdés 1. pontjában biztosított feladatkörében eljárva a településfejlesztési koncepcióról, az integrált településfejlesztési stratégiáról és a településrendezési eszközökről, valamint egyes településrendezési sajátos   jogintézményekről szóló 314/2012. (XI.8.) Korm. rendelet, valamint Jászapáti Városi Önkormányzat Képviselő-testületének a partnerségi egyeztetés szabályairól szóló 20/2017. (IX.22.) sz. önkormányzati rendelet 5. § (1) bekezdés szerint Jászapáti város Településrendezési eszközeinek négy részterület érintő -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>I. sz. részterület</w:t>
      </w:r>
      <w:r>
        <w:rPr>
          <w:sz w:val="24"/>
          <w:szCs w:val="24"/>
        </w:rPr>
        <w:t>:</w:t>
        <w:tab/>
        <w:t>Jászapáti külterület 0282/89 hrsz.-ú telekre, multifunkciós szabadidő  sportlétesítmény /lőtér/ telepítése,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>II. sz. részterület</w:t>
      </w:r>
      <w:r>
        <w:rPr>
          <w:sz w:val="24"/>
          <w:szCs w:val="24"/>
        </w:rPr>
        <w:t>: Jászapáti, belterület 1346 (1346/1 és 1346/2) hrsz.-ú telkekre napelemes kiserőmű telepítése,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>III. sz. részterület:</w:t>
      </w:r>
      <w:r>
        <w:rPr>
          <w:sz w:val="24"/>
          <w:szCs w:val="24"/>
        </w:rPr>
        <w:t xml:space="preserve"> Jászapáti 31 sz. főúttal párhuzamosan a főút  jobb oldalán több telket érintő szabályozás, kerékpárút építése,</w:t>
      </w:r>
    </w:p>
    <w:p>
      <w:pPr>
        <w:pStyle w:val="Normal"/>
        <w:jc w:val="both"/>
        <w:rPr/>
      </w:pPr>
      <w:r>
        <w:rPr>
          <w:b/>
          <w:sz w:val="24"/>
          <w:szCs w:val="24"/>
        </w:rPr>
        <w:t>IV. sz. részterület</w:t>
      </w:r>
      <w:r>
        <w:rPr>
          <w:sz w:val="24"/>
          <w:szCs w:val="24"/>
        </w:rPr>
        <w:t>: Jászapáti, külterület 0265/13 hrsz.-ú ingatlan építési övezetének módosítása -</w:t>
      </w:r>
    </w:p>
    <w:p>
      <w:pPr>
        <w:pStyle w:val="Uj"/>
        <w:spacing w:beforeAutospacing="0" w:before="0" w:afterAutospacing="0" w:after="0"/>
        <w:jc w:val="both"/>
        <w:rPr/>
      </w:pPr>
      <w:r>
        <w:rPr/>
        <w:t>fejlesztéseinek megvalósítása érdekében -  tárgyalásos eljárásban történő módosításához kapcsolódó tájékoztatást a partnerségi egyeztetésről,  –  kifogást emelő észrevétel nem hangzott el és írásban nem érkezett – elfogadja és a partnerségi eljárást lezárja.</w:t>
      </w:r>
    </w:p>
    <w:p>
      <w:pPr>
        <w:pStyle w:val="Uj"/>
        <w:spacing w:beforeAutospacing="0" w:before="0" w:afterAutospacing="0" w:after="0"/>
        <w:jc w:val="both"/>
        <w:rPr/>
      </w:pPr>
      <w:r>
        <w:rPr/>
      </w:r>
    </w:p>
    <w:p>
      <w:pPr>
        <w:pStyle w:val="Uj"/>
        <w:spacing w:beforeAutospacing="0" w:before="0" w:afterAutospacing="0" w:after="0"/>
        <w:jc w:val="both"/>
        <w:rPr/>
      </w:pPr>
      <w:r>
        <w:rPr/>
        <w:t xml:space="preserve">2. </w:t>
      </w:r>
      <w:r>
        <w:rPr>
          <w:sz w:val="24"/>
          <w:szCs w:val="24"/>
        </w:rPr>
        <w:t>A képviselő-testület felkéri a polgármestert, hogy a végső szakmai véleményezési szakasz lefolytatását kezdeményezze az állami főépítésznél és záró szakmai véleményét kérje meg.</w:t>
      </w:r>
    </w:p>
    <w:p>
      <w:pPr>
        <w:pStyle w:val="Normal"/>
        <w:jc w:val="both"/>
        <w:rPr>
          <w:strike/>
          <w:sz w:val="24"/>
          <w:szCs w:val="24"/>
        </w:rPr>
      </w:pPr>
      <w:r>
        <w:rPr>
          <w:strike/>
          <w:sz w:val="24"/>
          <w:szCs w:val="24"/>
        </w:rPr>
      </w:r>
    </w:p>
    <w:p>
      <w:pPr>
        <w:pStyle w:val="Normal"/>
        <w:jc w:val="both"/>
        <w:rPr/>
      </w:pPr>
      <w:r>
        <w:rPr>
          <w:b/>
          <w:sz w:val="24"/>
          <w:szCs w:val="24"/>
          <w:u w:val="single"/>
        </w:rPr>
        <w:t>Határidő:</w:t>
      </w:r>
      <w:r>
        <w:rPr>
          <w:sz w:val="24"/>
          <w:szCs w:val="24"/>
        </w:rPr>
        <w:t xml:space="preserve"> </w:t>
        <w:tab/>
      </w:r>
      <w:r>
        <w:rPr>
          <w:sz w:val="24"/>
          <w:szCs w:val="24"/>
        </w:rPr>
        <w:t xml:space="preserve">2019. </w:t>
      </w:r>
      <w:r>
        <w:rPr>
          <w:sz w:val="24"/>
          <w:szCs w:val="24"/>
        </w:rPr>
        <w:t xml:space="preserve">július </w:t>
      </w:r>
      <w:r>
        <w:rPr>
          <w:sz w:val="24"/>
          <w:szCs w:val="24"/>
        </w:rPr>
        <w:t>30.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Felelős:</w:t>
      </w:r>
      <w:r>
        <w:rPr>
          <w:sz w:val="24"/>
          <w:szCs w:val="24"/>
        </w:rPr>
        <w:t xml:space="preserve"> </w:t>
        <w:tab/>
        <w:t>Farkas Ferenc polgármester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            </w:t>
      </w:r>
      <w:r>
        <w:rPr>
          <w:sz w:val="24"/>
          <w:szCs w:val="24"/>
        </w:rPr>
        <w:tab/>
        <w:t xml:space="preserve">Tekse András főépítész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Erről értesül:</w:t>
      </w:r>
    </w:p>
    <w:p>
      <w:pPr>
        <w:pStyle w:val="ListParagraph"/>
        <w:numPr>
          <w:ilvl w:val="0"/>
          <w:numId w:val="1"/>
        </w:numPr>
        <w:suppressAutoHyphens w:val="false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Képviselő-testület tagjai</w:t>
      </w:r>
    </w:p>
    <w:p>
      <w:pPr>
        <w:pStyle w:val="ListParagraph"/>
        <w:numPr>
          <w:ilvl w:val="0"/>
          <w:numId w:val="1"/>
        </w:numPr>
        <w:suppressAutoHyphens w:val="false"/>
        <w:spacing w:before="0" w:after="0"/>
        <w:contextualSpacing/>
        <w:jc w:val="both"/>
        <w:rPr/>
      </w:pPr>
      <w:r>
        <w:rPr>
          <w:sz w:val="24"/>
          <w:szCs w:val="24"/>
        </w:rPr>
        <w:t xml:space="preserve">Farkas Ferenc polgármester </w:t>
      </w:r>
    </w:p>
    <w:p>
      <w:pPr>
        <w:pStyle w:val="ListParagraph"/>
        <w:numPr>
          <w:ilvl w:val="0"/>
          <w:numId w:val="1"/>
        </w:numPr>
        <w:suppressAutoHyphens w:val="false"/>
        <w:spacing w:before="0" w:after="0"/>
        <w:contextualSpacing/>
        <w:jc w:val="both"/>
        <w:rPr/>
      </w:pPr>
      <w:r>
        <w:rPr>
          <w:sz w:val="24"/>
          <w:szCs w:val="24"/>
        </w:rPr>
        <w:t>Koczáné dr. Fehérváry Mária aljegyző</w:t>
      </w:r>
    </w:p>
    <w:p>
      <w:pPr>
        <w:pStyle w:val="Szvegtrzs"/>
        <w:numPr>
          <w:ilvl w:val="0"/>
          <w:numId w:val="1"/>
        </w:numPr>
        <w:suppressAutoHyphens w:val="false"/>
        <w:spacing w:before="0" w:after="0"/>
        <w:ind w:left="720" w:right="58" w:hanging="360"/>
        <w:jc w:val="both"/>
        <w:rPr/>
      </w:pPr>
      <w:r>
        <w:rPr>
          <w:sz w:val="24"/>
          <w:szCs w:val="24"/>
        </w:rPr>
        <w:t>Kiszelovics Ildikó</w:t>
      </w:r>
      <w:bookmarkStart w:id="0" w:name="_GoBack"/>
      <w:bookmarkEnd w:id="0"/>
      <w:r>
        <w:rPr>
          <w:sz w:val="24"/>
          <w:szCs w:val="24"/>
        </w:rPr>
        <w:t xml:space="preserve"> településtervező</w:t>
      </w:r>
    </w:p>
    <w:p>
      <w:pPr>
        <w:pStyle w:val="Szvegtrzs"/>
        <w:numPr>
          <w:ilvl w:val="0"/>
          <w:numId w:val="1"/>
        </w:numPr>
        <w:suppressAutoHyphens w:val="false"/>
        <w:spacing w:before="0" w:after="0"/>
        <w:ind w:left="720" w:right="58" w:hanging="360"/>
        <w:jc w:val="both"/>
        <w:rPr>
          <w:rFonts w:eastAsia="Batang"/>
          <w:sz w:val="24"/>
          <w:szCs w:val="24"/>
        </w:rPr>
      </w:pPr>
      <w:r>
        <w:rPr>
          <w:sz w:val="24"/>
          <w:szCs w:val="24"/>
        </w:rPr>
        <w:t>Tekse András városi főépítész</w:t>
      </w:r>
    </w:p>
    <w:p>
      <w:pPr>
        <w:pStyle w:val="Szvegtrzs"/>
        <w:numPr>
          <w:ilvl w:val="0"/>
          <w:numId w:val="1"/>
        </w:numPr>
        <w:suppressAutoHyphens w:val="false"/>
        <w:spacing w:before="0" w:after="0"/>
        <w:ind w:left="720" w:right="58" w:hanging="360"/>
        <w:jc w:val="both"/>
        <w:rPr>
          <w:rFonts w:eastAsia="Batang"/>
          <w:sz w:val="24"/>
          <w:szCs w:val="24"/>
        </w:rPr>
      </w:pPr>
      <w:r>
        <w:rPr>
          <w:sz w:val="24"/>
          <w:szCs w:val="24"/>
        </w:rPr>
        <w:t xml:space="preserve">Irattár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>Jászapáti, 2019. július 1</w:t>
      </w:r>
      <w:r>
        <w:rPr>
          <w:sz w:val="24"/>
          <w:szCs w:val="24"/>
        </w:rPr>
        <w:t>6.</w:t>
      </w:r>
    </w:p>
    <w:p>
      <w:pPr>
        <w:pStyle w:val="Szvegtrzs"/>
        <w:spacing w:before="0" w:after="0"/>
        <w:ind w:firstLine="58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Farkas Ferenc</w:t>
      </w:r>
    </w:p>
    <w:p>
      <w:pPr>
        <w:pStyle w:val="Szvegtrzs"/>
        <w:spacing w:before="0" w:after="0"/>
        <w:ind w:firstLine="5954"/>
        <w:jc w:val="both"/>
        <w:rPr/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polgármester</w:t>
      </w:r>
    </w:p>
    <w:p>
      <w:pPr>
        <w:pStyle w:val="Normal"/>
        <w:jc w:val="center"/>
        <w:rPr/>
      </w:pPr>
      <w:r>
        <w:rPr>
          <w:b/>
          <w:sz w:val="24"/>
          <w:szCs w:val="24"/>
        </w:rPr>
        <w:t xml:space="preserve">Partnerségi egyeztetést lezáró jegyzőkönyv 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Jászapáti Város  településrendezési eszközeinek – négy részterületét érintő – módosítása kapcsán a partnerségi egyeztetés során beérkezett vélemények elfogadásáról és lezárásáról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Jászapáti  város közigazgatási területeire  készülő   településrendezési eszközeinek   módosítás dokumentációja   Jászapáti Városi Önkormányzat Képviselő-testületének 20/2017. (IX.22.) önkormányzati rendeletében meghatározottak szerint bemutatásra és megvitatásra került.  2019. június 27.-én 16</w:t>
      </w:r>
      <w:r>
        <w:rPr>
          <w:bCs/>
          <w:sz w:val="24"/>
          <w:szCs w:val="24"/>
          <w:vertAlign w:val="superscript"/>
        </w:rPr>
        <w:t>00</w:t>
      </w:r>
      <w:r>
        <w:rPr>
          <w:bCs/>
          <w:sz w:val="24"/>
          <w:szCs w:val="24"/>
        </w:rPr>
        <w:t xml:space="preserve"> órakor Jászapáti, Dr. Szlovencsák Imre út 2. sz. alatti  Városháza házasságkötő termében  tartott lakossági fórum került megrendezésre, melyről jegyzőkönyv készült. A lakossági fórumon  kérdés, észrevétel, vélemény nem hangzott el.</w:t>
      </w:r>
    </w:p>
    <w:p>
      <w:pPr>
        <w:pStyle w:val="Normal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 partnerségi egyeztetés Jászapáti  Városi Önkormányzat Képviselő-testületének 20/2017. (IX. 22.) önkormányzati rendeletében a partnerségi egyeztetés szabályairól  meghatározottak szerint a lakossági fórum előtt 8 nappal kezdődött, melyről a lakosság a közterületi hirdetőfelületen – helyi lap az egyeztetés időszakában nem jelent meg -  és a honlapon értesült. A véleményezés a fórum után még 8 napig tartott, mely időszak alatt az Önkormányzatnál írásban leadhatták véleményüket a partnerek.</w:t>
      </w:r>
    </w:p>
    <w:p>
      <w:pPr>
        <w:pStyle w:val="Normal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Jelenlévők megállapítják, hogy a partnerségi egyeztetés a településrendezési eszközök tárgyalásos eljárásban történő módosításánál a végső véleményezési szakasz kezdeményezése előtt megtörtént. A jogszabályi előírásoknak megfelelően meghirdetett és lebonyolított partnerségi egyeztetés eredményeként a közzététel ideje alatt, továbbá a lakossági fórumtól számított 8 napon belül A Polgármesteri Hivatalba   a tárgyi témához kapcsolódó észrevétel, javaslat, vélemény nem érkezett.</w:t>
      </w:r>
    </w:p>
    <w:p>
      <w:pPr>
        <w:pStyle w:val="Normal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 partnerségi egyeztetés lezárásáról Képviselő-testületi döntést /önk. határozat formájában/ kell hozni. </w:t>
      </w:r>
    </w:p>
    <w:p>
      <w:pPr>
        <w:pStyle w:val="Normal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Szvegtrzs"/>
        <w:jc w:val="both"/>
        <w:rPr>
          <w:sz w:val="24"/>
          <w:szCs w:val="24"/>
        </w:rPr>
      </w:pPr>
      <w:r>
        <w:rPr>
          <w:sz w:val="24"/>
          <w:szCs w:val="24"/>
        </w:rPr>
        <w:t>Jászapáti, 2019. július 09.</w:t>
      </w:r>
    </w:p>
    <w:p>
      <w:pPr>
        <w:pStyle w:val="Szvegtrzs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zvegtrzs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zvegtrzs"/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>
        <w:rPr>
          <w:sz w:val="24"/>
          <w:szCs w:val="24"/>
        </w:rPr>
        <w:t>Farkas Ferenc</w:t>
        <w:tab/>
        <w:tab/>
        <w:t xml:space="preserve">                                                     Tekse András</w:t>
        <w:tab/>
        <w:tab/>
        <w:tab/>
        <w:t>polgármester                                                                      főépítész</w:t>
        <w:tab/>
        <w:tab/>
        <w:tab/>
        <w:tab/>
        <w:tab/>
        <w:tab/>
        <w:tab/>
      </w:r>
    </w:p>
    <w:p>
      <w:pPr>
        <w:pStyle w:val="Szvegtrzs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8" w:right="1418" w:header="720" w:top="851" w:footer="72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hu-H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d4ce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hu-HU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zvegtrzsChar" w:customStyle="1">
    <w:name w:val="Szövegtörzs Char"/>
    <w:basedOn w:val="DefaultParagraphFont"/>
    <w:link w:val="Szvegtrzs"/>
    <w:qFormat/>
    <w:rsid w:val="005d4ce5"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BuborkszvegChar" w:customStyle="1">
    <w:name w:val="Buborékszöveg Char"/>
    <w:basedOn w:val="DefaultParagraphFont"/>
    <w:link w:val="Buborkszveg"/>
    <w:uiPriority w:val="99"/>
    <w:semiHidden/>
    <w:qFormat/>
    <w:rsid w:val="00fa2c1c"/>
    <w:rPr>
      <w:rFonts w:ascii="Segoe UI" w:hAnsi="Segoe UI" w:eastAsia="Times New Roman" w:cs="Segoe UI"/>
      <w:kern w:val="2"/>
      <w:sz w:val="18"/>
      <w:szCs w:val="18"/>
      <w:lang w:eastAsia="ar-SA"/>
    </w:rPr>
  </w:style>
  <w:style w:type="character" w:styleId="Strong">
    <w:name w:val="Strong"/>
    <w:basedOn w:val="DefaultParagraphFont"/>
    <w:uiPriority w:val="22"/>
    <w:qFormat/>
    <w:rsid w:val="002b758c"/>
    <w:rPr>
      <w:b/>
      <w:bCs/>
    </w:rPr>
  </w:style>
  <w:style w:type="character" w:styleId="Internethivatkozs">
    <w:name w:val="Internet-hivatkozás"/>
    <w:basedOn w:val="DefaultParagraphFont"/>
    <w:uiPriority w:val="99"/>
    <w:unhideWhenUsed/>
    <w:rsid w:val="00260b2c"/>
    <w:rPr>
      <w:color w:val="0563C1" w:themeColor="hyperlink"/>
      <w:u w:val="single"/>
    </w:rPr>
  </w:style>
  <w:style w:type="character" w:styleId="ListLabel1">
    <w:name w:val="ListLabel 1"/>
    <w:qFormat/>
    <w:rPr>
      <w:rFonts w:eastAsia="Times New Roman" w:cs="Times New Roman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eastAsia="Times New Roman" w:cs="Times New Roman"/>
      <w:b/>
    </w:rPr>
  </w:style>
  <w:style w:type="paragraph" w:styleId="Cmsor">
    <w:name w:val="Címsor"/>
    <w:basedOn w:val="Normal"/>
    <w:next w:val="Szvegtrzs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zvegtrzs">
    <w:name w:val="Body Text"/>
    <w:basedOn w:val="Normal"/>
    <w:link w:val="SzvegtrzsChar"/>
    <w:rsid w:val="005d4ce5"/>
    <w:pPr>
      <w:spacing w:before="0" w:after="120"/>
    </w:pPr>
    <w:rPr/>
  </w:style>
  <w:style w:type="paragraph" w:styleId="Lista">
    <w:name w:val="List"/>
    <w:basedOn w:val="Szvegtrzs"/>
    <w:pPr/>
    <w:rPr>
      <w:rFonts w:cs="Arial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5d4ce5"/>
    <w:pPr>
      <w:ind w:left="708" w:hanging="0"/>
    </w:pPr>
    <w:rPr/>
  </w:style>
  <w:style w:type="paragraph" w:styleId="Uj" w:customStyle="1">
    <w:name w:val="uj"/>
    <w:basedOn w:val="Normal"/>
    <w:qFormat/>
    <w:rsid w:val="005d4ce5"/>
    <w:pPr>
      <w:suppressAutoHyphens w:val="false"/>
      <w:spacing w:beforeAutospacing="1" w:afterAutospacing="1"/>
    </w:pPr>
    <w:rPr>
      <w:kern w:val="0"/>
      <w:sz w:val="24"/>
      <w:szCs w:val="24"/>
      <w:lang w:eastAsia="hu-HU"/>
    </w:rPr>
  </w:style>
  <w:style w:type="paragraph" w:styleId="BalloonText">
    <w:name w:val="Balloon Text"/>
    <w:basedOn w:val="Normal"/>
    <w:link w:val="BuborkszvegChar"/>
    <w:uiPriority w:val="99"/>
    <w:semiHidden/>
    <w:unhideWhenUsed/>
    <w:qFormat/>
    <w:rsid w:val="00fa2c1c"/>
    <w:pPr/>
    <w:rPr>
      <w:rFonts w:ascii="Segoe UI" w:hAnsi="Segoe UI" w:cs="Segoe UI"/>
      <w:sz w:val="18"/>
      <w:szCs w:val="18"/>
    </w:rPr>
  </w:style>
  <w:style w:type="paragraph" w:styleId="Textbody" w:customStyle="1">
    <w:name w:val="Text body"/>
    <w:basedOn w:val="Normal"/>
    <w:qFormat/>
    <w:rsid w:val="0059231a"/>
    <w:pPr>
      <w:spacing w:lineRule="auto" w:line="288" w:before="0" w:after="140"/>
    </w:pPr>
    <w:rPr>
      <w:rFonts w:ascii="Calibri" w:hAnsi="Calibri" w:eastAsia="Calibri"/>
      <w:kern w:val="2"/>
      <w:sz w:val="22"/>
      <w:szCs w:val="22"/>
      <w:lang w:eastAsia="zh-CN"/>
    </w:rPr>
  </w:style>
  <w:style w:type="paragraph" w:styleId="NormalWeb">
    <w:name w:val="Normal (Web)"/>
    <w:basedOn w:val="Normal"/>
    <w:uiPriority w:val="99"/>
    <w:unhideWhenUsed/>
    <w:qFormat/>
    <w:rsid w:val="002b758c"/>
    <w:pPr>
      <w:suppressAutoHyphens w:val="false"/>
      <w:spacing w:beforeAutospacing="1" w:afterAutospacing="1"/>
    </w:pPr>
    <w:rPr>
      <w:kern w:val="0"/>
      <w:sz w:val="24"/>
      <w:szCs w:val="24"/>
      <w:lang w:eastAsia="hu-H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Application>LibreOffice/6.2.0.3$Windows_x86 LibreOffice_project/98c6a8a1c6c7b144ce3cc729e34964b47ce25d62</Application>
  <Pages>3</Pages>
  <Words>872</Words>
  <Characters>6653</Characters>
  <CharactersWithSpaces>7676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2019-07-15T06:02:00Z</dcterms:created>
  <dc:creator>felhasznalo</dc:creator>
  <dc:description/>
  <dc:language>hu-HU</dc:language>
  <cp:lastModifiedBy/>
  <cp:lastPrinted>2019-07-16T12:51:59Z</cp:lastPrinted>
  <dcterms:modified xsi:type="dcterms:W3CDTF">2019-07-16T12:53:03Z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